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宋体"/>
          <w:lang w:val="en-US" w:eastAsia="zh-CN"/>
        </w:rPr>
      </w:pPr>
      <w:r>
        <w:rPr>
          <w:rFonts w:hint="eastAsia"/>
          <w:lang w:val="en-US" w:eastAsia="zh-CN"/>
        </w:rPr>
        <w:t xml:space="preserve">                                                                            </w:t>
      </w:r>
    </w:p>
    <w:p>
      <w:pPr>
        <w:spacing w:line="360" w:lineRule="auto"/>
      </w:pPr>
    </w:p>
    <w:p>
      <w:pPr>
        <w:spacing w:line="360" w:lineRule="auto"/>
      </w:pPr>
    </w:p>
    <w:p>
      <w:pPr>
        <w:spacing w:line="360" w:lineRule="auto"/>
      </w:pPr>
    </w:p>
    <w:p>
      <w:pPr>
        <w:spacing w:line="360" w:lineRule="auto"/>
      </w:pPr>
    </w:p>
    <w:p>
      <w:pPr>
        <w:snapToGrid w:val="0"/>
        <w:spacing w:line="360" w:lineRule="auto"/>
        <w:jc w:val="center"/>
        <w:rPr>
          <w:b/>
          <w:bCs/>
          <w:spacing w:val="20"/>
          <w:sz w:val="44"/>
          <w:szCs w:val="44"/>
        </w:rPr>
      </w:pPr>
      <w:r>
        <w:rPr>
          <w:rFonts w:hint="eastAsia"/>
          <w:b/>
          <w:bCs/>
          <w:spacing w:val="20"/>
          <w:sz w:val="44"/>
          <w:szCs w:val="44"/>
          <w:lang w:eastAsia="zh-CN"/>
        </w:rPr>
        <w:t>邳州市车辐山戴庄风电场项目</w:t>
      </w:r>
      <w:r>
        <w:rPr>
          <w:b/>
          <w:bCs/>
          <w:spacing w:val="20"/>
          <w:sz w:val="44"/>
          <w:szCs w:val="44"/>
        </w:rPr>
        <w:t>竣工环境保护验收</w:t>
      </w:r>
      <w:r>
        <w:rPr>
          <w:rFonts w:hint="eastAsia"/>
          <w:b/>
          <w:bCs/>
          <w:spacing w:val="20"/>
          <w:sz w:val="44"/>
          <w:szCs w:val="44"/>
        </w:rPr>
        <w:t>调查表</w:t>
      </w: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rFonts w:eastAsia="楷体"/>
          <w:sz w:val="24"/>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480" w:lineRule="auto"/>
        <w:jc w:val="center"/>
        <w:rPr>
          <w:spacing w:val="20"/>
          <w:szCs w:val="21"/>
        </w:rPr>
      </w:pPr>
    </w:p>
    <w:p>
      <w:pPr>
        <w:spacing w:line="360" w:lineRule="auto"/>
        <w:ind w:firstLine="1285" w:firstLineChars="400"/>
        <w:rPr>
          <w:sz w:val="32"/>
          <w:szCs w:val="32"/>
          <w:u w:val="single"/>
        </w:rPr>
      </w:pPr>
      <w:r>
        <w:rPr>
          <w:b/>
          <w:sz w:val="32"/>
          <w:szCs w:val="32"/>
        </w:rPr>
        <w:t>建设单位：</w:t>
      </w:r>
      <w:r>
        <w:rPr>
          <w:rFonts w:hint="eastAsia"/>
          <w:sz w:val="32"/>
          <w:szCs w:val="32"/>
          <w:u w:val="single"/>
        </w:rPr>
        <w:t>华润新能源（</w:t>
      </w:r>
      <w:r>
        <w:rPr>
          <w:rFonts w:hint="eastAsia"/>
          <w:sz w:val="32"/>
          <w:szCs w:val="32"/>
          <w:u w:val="single"/>
          <w:lang w:eastAsia="zh-CN"/>
        </w:rPr>
        <w:t>邳州</w:t>
      </w:r>
      <w:r>
        <w:rPr>
          <w:rFonts w:hint="eastAsia"/>
          <w:sz w:val="32"/>
          <w:szCs w:val="32"/>
          <w:u w:val="single"/>
        </w:rPr>
        <w:t>）有限公司</w:t>
      </w:r>
    </w:p>
    <w:p>
      <w:pPr>
        <w:spacing w:line="360" w:lineRule="auto"/>
        <w:ind w:firstLine="1120" w:firstLineChars="350"/>
        <w:rPr>
          <w:sz w:val="32"/>
          <w:szCs w:val="32"/>
        </w:rPr>
      </w:pPr>
    </w:p>
    <w:p>
      <w:pPr>
        <w:spacing w:line="360" w:lineRule="auto"/>
        <w:ind w:firstLine="1269" w:firstLineChars="395"/>
        <w:rPr>
          <w:sz w:val="32"/>
          <w:szCs w:val="32"/>
          <w:u w:val="single"/>
        </w:rPr>
      </w:pPr>
      <w:r>
        <w:rPr>
          <w:rFonts w:hint="eastAsia"/>
          <w:b/>
          <w:sz w:val="32"/>
          <w:szCs w:val="32"/>
        </w:rPr>
        <w:t>编制单位</w:t>
      </w:r>
      <w:r>
        <w:rPr>
          <w:b/>
          <w:sz w:val="32"/>
          <w:szCs w:val="32"/>
        </w:rPr>
        <w:t>：</w:t>
      </w:r>
      <w:r>
        <w:rPr>
          <w:rFonts w:hint="eastAsia"/>
          <w:sz w:val="32"/>
          <w:szCs w:val="32"/>
          <w:u w:val="single"/>
        </w:rPr>
        <w:t>华润新能源（</w:t>
      </w:r>
      <w:r>
        <w:rPr>
          <w:rFonts w:hint="eastAsia"/>
          <w:sz w:val="32"/>
          <w:szCs w:val="32"/>
          <w:u w:val="single"/>
          <w:lang w:eastAsia="zh-CN"/>
        </w:rPr>
        <w:t>邳州</w:t>
      </w:r>
      <w:r>
        <w:rPr>
          <w:rFonts w:hint="eastAsia"/>
          <w:sz w:val="32"/>
          <w:szCs w:val="32"/>
          <w:u w:val="single"/>
        </w:rPr>
        <w:t>）有限公司</w:t>
      </w: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rPr>
          <w:spacing w:val="20"/>
          <w:szCs w:val="21"/>
        </w:rPr>
      </w:pPr>
    </w:p>
    <w:p>
      <w:pPr>
        <w:spacing w:line="480" w:lineRule="auto"/>
        <w:jc w:val="center"/>
        <w:rPr>
          <w:rStyle w:val="38"/>
          <w:b/>
          <w:sz w:val="32"/>
          <w:szCs w:val="32"/>
        </w:rPr>
      </w:pPr>
      <w:r>
        <w:rPr>
          <w:rStyle w:val="38"/>
          <w:rFonts w:hint="eastAsia"/>
          <w:b/>
          <w:sz w:val="32"/>
          <w:szCs w:val="32"/>
        </w:rPr>
        <w:t>2022</w:t>
      </w:r>
      <w:r>
        <w:rPr>
          <w:rStyle w:val="38"/>
          <w:b/>
          <w:sz w:val="32"/>
          <w:szCs w:val="32"/>
        </w:rPr>
        <w:t>年</w:t>
      </w:r>
      <w:r>
        <w:rPr>
          <w:rStyle w:val="38"/>
          <w:rFonts w:hint="eastAsia"/>
          <w:b/>
          <w:sz w:val="32"/>
          <w:szCs w:val="32"/>
          <w:lang w:val="en-US" w:eastAsia="zh-CN"/>
        </w:rPr>
        <w:t>4</w:t>
      </w:r>
      <w:r>
        <w:rPr>
          <w:rStyle w:val="38"/>
          <w:b/>
          <w:sz w:val="32"/>
          <w:szCs w:val="32"/>
        </w:rPr>
        <w:t>月</w:t>
      </w:r>
    </w:p>
    <w:p>
      <w:pPr>
        <w:pStyle w:val="50"/>
        <w:jc w:val="center"/>
        <w:rPr>
          <w:rStyle w:val="38"/>
          <w:rFonts w:ascii="Times New Roman"/>
          <w:color w:val="auto"/>
          <w:sz w:val="28"/>
          <w:szCs w:val="28"/>
        </w:rPr>
      </w:pPr>
      <w:r>
        <w:rPr>
          <w:rStyle w:val="38"/>
          <w:rFonts w:ascii="Times New Roman"/>
          <w:color w:val="auto"/>
          <w:sz w:val="28"/>
          <w:szCs w:val="28"/>
        </w:rPr>
        <w:br w:type="page"/>
      </w:r>
    </w:p>
    <w:p>
      <w:pPr>
        <w:spacing w:line="480" w:lineRule="auto"/>
        <w:rPr>
          <w:rStyle w:val="38"/>
          <w:sz w:val="28"/>
          <w:szCs w:val="28"/>
        </w:rPr>
      </w:pPr>
    </w:p>
    <w:p>
      <w:pPr>
        <w:spacing w:line="480" w:lineRule="auto"/>
        <w:rPr>
          <w:rStyle w:val="38"/>
          <w:sz w:val="28"/>
          <w:szCs w:val="28"/>
        </w:rPr>
      </w:pPr>
      <w:r>
        <w:rPr>
          <w:rStyle w:val="38"/>
          <w:rFonts w:hint="eastAsia"/>
          <w:b/>
          <w:bCs/>
          <w:sz w:val="28"/>
          <w:szCs w:val="28"/>
        </w:rPr>
        <w:t>建设单位：</w:t>
      </w:r>
      <w:r>
        <w:rPr>
          <w:rStyle w:val="38"/>
          <w:rFonts w:hint="eastAsia"/>
          <w:sz w:val="28"/>
          <w:szCs w:val="28"/>
        </w:rPr>
        <w:t>华润新能源（</w:t>
      </w:r>
      <w:r>
        <w:rPr>
          <w:rStyle w:val="38"/>
          <w:rFonts w:hint="eastAsia"/>
          <w:sz w:val="28"/>
          <w:szCs w:val="28"/>
          <w:lang w:eastAsia="zh-CN"/>
        </w:rPr>
        <w:t>邳州</w:t>
      </w:r>
      <w:r>
        <w:rPr>
          <w:rStyle w:val="38"/>
          <w:rFonts w:hint="eastAsia"/>
          <w:sz w:val="28"/>
          <w:szCs w:val="28"/>
        </w:rPr>
        <w:t>）有限公司</w:t>
      </w:r>
    </w:p>
    <w:p>
      <w:pPr>
        <w:spacing w:line="480" w:lineRule="auto"/>
        <w:rPr>
          <w:rStyle w:val="38"/>
          <w:sz w:val="28"/>
          <w:szCs w:val="28"/>
        </w:rPr>
      </w:pPr>
      <w:r>
        <w:rPr>
          <w:rStyle w:val="38"/>
          <w:rFonts w:hint="eastAsia"/>
          <w:b/>
          <w:bCs/>
          <w:sz w:val="28"/>
          <w:szCs w:val="28"/>
        </w:rPr>
        <w:t>法定代表人：</w:t>
      </w:r>
      <w:r>
        <w:rPr>
          <w:rStyle w:val="38"/>
          <w:rFonts w:hint="eastAsia"/>
          <w:sz w:val="28"/>
          <w:szCs w:val="28"/>
          <w:lang w:val="en-US" w:eastAsia="zh-CN"/>
        </w:rPr>
        <w:t>高雪斌</w:t>
      </w:r>
    </w:p>
    <w:p>
      <w:pPr>
        <w:spacing w:line="480" w:lineRule="auto"/>
        <w:rPr>
          <w:rStyle w:val="38"/>
          <w:sz w:val="28"/>
          <w:szCs w:val="28"/>
        </w:rPr>
      </w:pPr>
      <w:r>
        <w:rPr>
          <w:rStyle w:val="38"/>
          <w:rFonts w:hint="eastAsia"/>
          <w:b/>
          <w:bCs/>
          <w:sz w:val="28"/>
          <w:szCs w:val="28"/>
        </w:rPr>
        <w:t>编制单位：</w:t>
      </w:r>
      <w:r>
        <w:rPr>
          <w:rStyle w:val="38"/>
          <w:rFonts w:hint="eastAsia"/>
          <w:sz w:val="28"/>
          <w:szCs w:val="28"/>
        </w:rPr>
        <w:t>华润新能源（</w:t>
      </w:r>
      <w:r>
        <w:rPr>
          <w:rStyle w:val="38"/>
          <w:rFonts w:hint="eastAsia"/>
          <w:sz w:val="28"/>
          <w:szCs w:val="28"/>
          <w:lang w:eastAsia="zh-CN"/>
        </w:rPr>
        <w:t>邳州</w:t>
      </w:r>
      <w:r>
        <w:rPr>
          <w:rStyle w:val="38"/>
          <w:rFonts w:hint="eastAsia"/>
          <w:sz w:val="28"/>
          <w:szCs w:val="28"/>
        </w:rPr>
        <w:t>）有限公司</w:t>
      </w:r>
    </w:p>
    <w:p>
      <w:pPr>
        <w:spacing w:line="480" w:lineRule="auto"/>
        <w:rPr>
          <w:rStyle w:val="38"/>
          <w:rFonts w:hint="default"/>
          <w:sz w:val="28"/>
          <w:szCs w:val="28"/>
          <w:lang w:val="en-US"/>
        </w:rPr>
      </w:pPr>
      <w:r>
        <w:rPr>
          <w:rStyle w:val="38"/>
          <w:rFonts w:hint="eastAsia"/>
          <w:b/>
          <w:bCs/>
          <w:sz w:val="28"/>
          <w:szCs w:val="28"/>
        </w:rPr>
        <w:t>法定代表人：</w:t>
      </w:r>
      <w:r>
        <w:rPr>
          <w:rStyle w:val="38"/>
          <w:rFonts w:hint="eastAsia"/>
          <w:sz w:val="28"/>
          <w:szCs w:val="28"/>
          <w:lang w:val="en-US" w:eastAsia="zh-CN"/>
        </w:rPr>
        <w:t xml:space="preserve">高雪斌 </w:t>
      </w:r>
    </w:p>
    <w:p>
      <w:pPr>
        <w:spacing w:line="480" w:lineRule="auto"/>
        <w:rPr>
          <w:rStyle w:val="38"/>
          <w:sz w:val="28"/>
          <w:szCs w:val="28"/>
        </w:rPr>
      </w:pPr>
    </w:p>
    <w:p>
      <w:pPr>
        <w:spacing w:line="480" w:lineRule="auto"/>
        <w:rPr>
          <w:rStyle w:val="38"/>
          <w:sz w:val="28"/>
          <w:szCs w:val="28"/>
        </w:rPr>
      </w:pPr>
    </w:p>
    <w:p>
      <w:pPr>
        <w:spacing w:line="480" w:lineRule="auto"/>
        <w:rPr>
          <w:rStyle w:val="38"/>
          <w:sz w:val="28"/>
          <w:szCs w:val="28"/>
        </w:rPr>
      </w:pPr>
      <w:r>
        <w:rPr>
          <w:b/>
          <w:bCs/>
          <w:sz w:val="28"/>
          <w:szCs w:val="28"/>
        </w:rPr>
        <w:t>项  目 负 责  人：</w:t>
      </w:r>
      <w:r>
        <w:rPr>
          <w:rStyle w:val="38"/>
          <w:rFonts w:hint="eastAsia"/>
          <w:sz w:val="28"/>
          <w:szCs w:val="28"/>
        </w:rPr>
        <w:t xml:space="preserve">刘相民 </w:t>
      </w:r>
    </w:p>
    <w:p>
      <w:pPr>
        <w:spacing w:afterLines="100" w:line="360" w:lineRule="auto"/>
        <w:rPr>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p>
    <w:p>
      <w:pPr>
        <w:spacing w:line="0" w:lineRule="atLeast"/>
        <w:rPr>
          <w:color w:val="FF0000"/>
          <w:sz w:val="28"/>
          <w:szCs w:val="28"/>
        </w:rPr>
      </w:pPr>
      <w:r>
        <w:rPr>
          <w:color w:val="FF0000"/>
          <w:sz w:val="28"/>
          <w:szCs w:val="28"/>
        </w:rPr>
        <w:pict>
          <v:shape id="Text Box 391" o:spid="_x0000_s1026" o:spt="202" type="#_x0000_t202" style="position:absolute;left:0pt;margin-left:244.8pt;margin-top:16pt;height:204pt;width:248.25pt;z-index:25166028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9mugIAAL0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">
            <v:path/>
            <v:fill on="f" focussize="0,0"/>
            <v:stroke on="f" joinstyle="miter"/>
            <v:imagedata o:title=""/>
            <o:lock v:ext="edit"/>
            <v:textbox>
              <w:txbxContent>
                <w:p>
                  <w:pPr>
                    <w:spacing w:line="360" w:lineRule="auto"/>
                    <w:rPr>
                      <w:sz w:val="28"/>
                      <w:szCs w:val="28"/>
                    </w:rPr>
                  </w:pPr>
                  <w:r>
                    <w:rPr>
                      <w:rFonts w:hint="eastAsia"/>
                      <w:sz w:val="28"/>
                      <w:szCs w:val="28"/>
                    </w:rPr>
                    <w:t>编制单位：华润新能源（</w:t>
                  </w:r>
                  <w:r>
                    <w:rPr>
                      <w:rFonts w:hint="eastAsia"/>
                      <w:sz w:val="28"/>
                      <w:szCs w:val="28"/>
                      <w:lang w:eastAsia="zh-CN"/>
                    </w:rPr>
                    <w:t>邳州</w:t>
                  </w:r>
                  <w:r>
                    <w:rPr>
                      <w:rFonts w:hint="eastAsia"/>
                      <w:sz w:val="28"/>
                      <w:szCs w:val="28"/>
                    </w:rPr>
                    <w:t>）有限公司</w:t>
                  </w:r>
                </w:p>
                <w:p>
                  <w:pPr>
                    <w:spacing w:line="360" w:lineRule="auto"/>
                    <w:rPr>
                      <w:rFonts w:hint="default"/>
                      <w:color w:val="000000"/>
                      <w:sz w:val="28"/>
                      <w:szCs w:val="28"/>
                      <w:lang w:val="en-US" w:eastAsia="zh-CN"/>
                    </w:rPr>
                  </w:pPr>
                  <w:r>
                    <w:rPr>
                      <w:rFonts w:hint="eastAsia"/>
                      <w:sz w:val="28"/>
                      <w:szCs w:val="28"/>
                    </w:rPr>
                    <w:t>电话：</w:t>
                  </w:r>
                  <w:r>
                    <w:rPr>
                      <w:rFonts w:hint="eastAsia"/>
                      <w:color w:val="000000"/>
                      <w:sz w:val="28"/>
                      <w:szCs w:val="28"/>
                      <w:lang w:val="en-US" w:eastAsia="zh-CN"/>
                    </w:rPr>
                    <w:t>13921316515</w:t>
                  </w:r>
                </w:p>
                <w:p>
                  <w:pPr>
                    <w:spacing w:line="360" w:lineRule="auto"/>
                    <w:rPr>
                      <w:sz w:val="28"/>
                      <w:szCs w:val="28"/>
                    </w:rPr>
                  </w:pPr>
                  <w:r>
                    <w:rPr>
                      <w:rFonts w:hint="eastAsia"/>
                      <w:sz w:val="28"/>
                      <w:szCs w:val="28"/>
                    </w:rPr>
                    <w:t>传真：——</w:t>
                  </w:r>
                </w:p>
                <w:p>
                  <w:pPr>
                    <w:spacing w:line="360" w:lineRule="auto"/>
                    <w:rPr>
                      <w:rFonts w:hint="default" w:eastAsia="宋体"/>
                      <w:sz w:val="28"/>
                      <w:szCs w:val="28"/>
                      <w:lang w:val="en-US" w:eastAsia="zh-CN"/>
                    </w:rPr>
                  </w:pPr>
                  <w:r>
                    <w:rPr>
                      <w:rFonts w:hint="eastAsia"/>
                      <w:sz w:val="28"/>
                      <w:szCs w:val="28"/>
                    </w:rPr>
                    <w:t>邮编：2</w:t>
                  </w:r>
                  <w:r>
                    <w:rPr>
                      <w:rFonts w:hint="eastAsia"/>
                      <w:sz w:val="28"/>
                      <w:szCs w:val="28"/>
                      <w:lang w:val="en-US" w:eastAsia="zh-CN"/>
                    </w:rPr>
                    <w:t>21300</w:t>
                  </w:r>
                </w:p>
                <w:p>
                  <w:pPr>
                    <w:spacing w:line="360" w:lineRule="auto"/>
                    <w:rPr>
                      <w:rFonts w:ascii="宋体" w:hAnsi="宋体" w:cs="宋体"/>
                      <w:sz w:val="28"/>
                      <w:szCs w:val="28"/>
                    </w:rPr>
                  </w:pPr>
                  <w:r>
                    <w:rPr>
                      <w:rFonts w:hint="eastAsia"/>
                      <w:sz w:val="28"/>
                      <w:szCs w:val="28"/>
                    </w:rPr>
                    <w:t>地址：</w:t>
                  </w:r>
                  <w:r>
                    <w:rPr>
                      <w:rFonts w:hint="eastAsia" w:ascii="宋体" w:hAnsi="宋体" w:cs="宋体"/>
                      <w:color w:val="000000"/>
                      <w:sz w:val="28"/>
                      <w:szCs w:val="28"/>
                      <w:lang w:eastAsia="zh-CN"/>
                    </w:rPr>
                    <w:t>邳州市车辐山镇、戴庄镇</w:t>
                  </w:r>
                </w:p>
              </w:txbxContent>
            </v:textbox>
          </v:shape>
        </w:pict>
      </w:r>
    </w:p>
    <w:p>
      <w:pPr>
        <w:spacing w:line="0" w:lineRule="atLeast"/>
        <w:rPr>
          <w:sz w:val="28"/>
          <w:szCs w:val="28"/>
        </w:rPr>
      </w:pPr>
      <w:r>
        <w:rPr>
          <w:sz w:val="28"/>
          <w:szCs w:val="28"/>
        </w:rPr>
        <w:pict>
          <v:shape id="Text Box 392" o:spid="_x0000_s1027" o:spt="202" type="#_x0000_t202" style="position:absolute;left:0pt;margin-left:-7.95pt;margin-top:-0.1pt;height:204pt;width:252.75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EQvgIAAMQ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">
            <v:path/>
            <v:fill on="f" focussize="0,0"/>
            <v:stroke on="f" joinstyle="miter"/>
            <v:imagedata o:title=""/>
            <o:lock v:ext="edit"/>
            <v:textbox>
              <w:txbxContent>
                <w:p>
                  <w:pPr>
                    <w:spacing w:line="360" w:lineRule="auto"/>
                    <w:rPr>
                      <w:sz w:val="28"/>
                      <w:szCs w:val="28"/>
                    </w:rPr>
                  </w:pPr>
                  <w:r>
                    <w:rPr>
                      <w:rFonts w:hint="eastAsia"/>
                      <w:sz w:val="28"/>
                      <w:szCs w:val="28"/>
                    </w:rPr>
                    <w:t>建设单位：华润新能源（</w:t>
                  </w:r>
                  <w:r>
                    <w:rPr>
                      <w:rFonts w:hint="eastAsia"/>
                      <w:sz w:val="28"/>
                      <w:szCs w:val="28"/>
                      <w:lang w:eastAsia="zh-CN"/>
                    </w:rPr>
                    <w:t>邳州</w:t>
                  </w:r>
                  <w:r>
                    <w:rPr>
                      <w:rFonts w:hint="eastAsia"/>
                      <w:sz w:val="28"/>
                      <w:szCs w:val="28"/>
                    </w:rPr>
                    <w:t>）有限公司</w:t>
                  </w:r>
                </w:p>
                <w:p>
                  <w:pPr>
                    <w:spacing w:line="360" w:lineRule="auto"/>
                    <w:rPr>
                      <w:rFonts w:hint="default" w:eastAsia="宋体"/>
                      <w:color w:val="000000"/>
                      <w:sz w:val="28"/>
                      <w:szCs w:val="28"/>
                      <w:lang w:val="en-US" w:eastAsia="zh-CN"/>
                    </w:rPr>
                  </w:pPr>
                  <w:r>
                    <w:rPr>
                      <w:rFonts w:hint="eastAsia"/>
                      <w:sz w:val="28"/>
                      <w:szCs w:val="28"/>
                    </w:rPr>
                    <w:t>电话：</w:t>
                  </w:r>
                  <w:r>
                    <w:rPr>
                      <w:rFonts w:hint="eastAsia"/>
                      <w:color w:val="000000"/>
                      <w:sz w:val="28"/>
                      <w:szCs w:val="28"/>
                      <w:lang w:val="en-US" w:eastAsia="zh-CN"/>
                    </w:rPr>
                    <w:t>13921316515</w:t>
                  </w:r>
                </w:p>
                <w:p>
                  <w:pPr>
                    <w:spacing w:line="360" w:lineRule="auto"/>
                    <w:rPr>
                      <w:sz w:val="28"/>
                      <w:szCs w:val="28"/>
                    </w:rPr>
                  </w:pPr>
                  <w:r>
                    <w:rPr>
                      <w:rFonts w:hint="eastAsia"/>
                      <w:sz w:val="28"/>
                      <w:szCs w:val="28"/>
                    </w:rPr>
                    <w:t>传真：——</w:t>
                  </w:r>
                </w:p>
                <w:p>
                  <w:pPr>
                    <w:spacing w:line="360" w:lineRule="auto"/>
                    <w:rPr>
                      <w:rFonts w:hint="eastAsia"/>
                      <w:sz w:val="28"/>
                      <w:szCs w:val="28"/>
                      <w:lang w:val="en-US" w:eastAsia="zh-CN"/>
                    </w:rPr>
                  </w:pPr>
                  <w:r>
                    <w:rPr>
                      <w:rFonts w:hint="eastAsia"/>
                      <w:sz w:val="28"/>
                      <w:szCs w:val="28"/>
                    </w:rPr>
                    <w:t>邮编：</w:t>
                  </w:r>
                  <w:r>
                    <w:rPr>
                      <w:rFonts w:hint="eastAsia"/>
                      <w:sz w:val="28"/>
                      <w:szCs w:val="28"/>
                      <w:lang w:val="en-US" w:eastAsia="zh-CN"/>
                    </w:rPr>
                    <w:t>221300</w:t>
                  </w:r>
                </w:p>
                <w:p>
                  <w:pPr>
                    <w:spacing w:line="360" w:lineRule="auto"/>
                    <w:rPr>
                      <w:sz w:val="28"/>
                      <w:szCs w:val="28"/>
                    </w:rPr>
                  </w:pPr>
                  <w:r>
                    <w:rPr>
                      <w:rFonts w:hint="eastAsia"/>
                      <w:sz w:val="28"/>
                      <w:szCs w:val="28"/>
                    </w:rPr>
                    <w:t>地址：</w:t>
                  </w:r>
                  <w:r>
                    <w:rPr>
                      <w:rFonts w:hint="eastAsia" w:ascii="宋体" w:hAnsi="宋体" w:cs="宋体"/>
                      <w:color w:val="000000"/>
                      <w:sz w:val="28"/>
                      <w:szCs w:val="28"/>
                      <w:lang w:eastAsia="zh-CN"/>
                    </w:rPr>
                    <w:t>邳州市车辐山镇、戴庄镇</w:t>
                  </w:r>
                </w:p>
              </w:txbxContent>
            </v:textbox>
          </v:shape>
        </w:pict>
      </w:r>
    </w:p>
    <w:p>
      <w:pPr>
        <w:spacing w:line="0" w:lineRule="atLeast"/>
        <w:rPr>
          <w:sz w:val="28"/>
          <w:szCs w:val="28"/>
        </w:rPr>
      </w:pPr>
    </w:p>
    <w:p>
      <w:pPr>
        <w:spacing w:line="0" w:lineRule="atLeast"/>
        <w:rPr>
          <w:sz w:val="28"/>
          <w:szCs w:val="28"/>
        </w:rPr>
      </w:pPr>
    </w:p>
    <w:p>
      <w:pPr>
        <w:spacing w:line="0" w:lineRule="atLeast"/>
        <w:rPr>
          <w:sz w:val="28"/>
        </w:rPr>
      </w:pPr>
    </w:p>
    <w:p>
      <w:pPr>
        <w:spacing w:line="0" w:lineRule="atLeast"/>
        <w:rPr>
          <w:sz w:val="28"/>
        </w:rPr>
      </w:pPr>
    </w:p>
    <w:p>
      <w:pPr>
        <w:jc w:val="center"/>
        <w:rPr>
          <w:sz w:val="28"/>
        </w:rPr>
      </w:pPr>
      <w:r>
        <w:rPr>
          <w:sz w:val="28"/>
        </w:rPr>
        <w:br w:type="page"/>
      </w:r>
    </w:p>
    <w:p>
      <w:pPr>
        <w:jc w:val="center"/>
        <w:rPr>
          <w:sz w:val="28"/>
        </w:rPr>
      </w:pPr>
    </w:p>
    <w:p>
      <w:pPr>
        <w:jc w:val="center"/>
        <w:rPr>
          <w:rFonts w:cs="宋体"/>
          <w:b/>
          <w:bCs/>
          <w:sz w:val="36"/>
          <w:szCs w:val="36"/>
        </w:rPr>
      </w:pPr>
      <w:r>
        <w:rPr>
          <w:rFonts w:hint="eastAsia" w:cs="宋体"/>
          <w:b/>
          <w:bCs/>
          <w:sz w:val="36"/>
          <w:szCs w:val="36"/>
        </w:rPr>
        <w:t>目录</w:t>
      </w:r>
    </w:p>
    <w:p>
      <w:pPr>
        <w:jc w:val="center"/>
        <w:rPr>
          <w:rFonts w:cs="宋体"/>
          <w:sz w:val="44"/>
          <w:szCs w:val="44"/>
        </w:rPr>
      </w:pPr>
    </w:p>
    <w:p>
      <w:pPr>
        <w:pStyle w:val="24"/>
        <w:tabs>
          <w:tab w:val="right" w:leader="dot" w:pos="9638"/>
          <w:tab w:val="clear" w:pos="9628"/>
        </w:tabs>
      </w:pPr>
      <w:r>
        <w:rPr>
          <w:rFonts w:ascii="Times New Roman" w:hAnsi="Times New Roman"/>
          <w:b/>
          <w:bCs/>
          <w:szCs w:val="24"/>
        </w:rPr>
        <w:fldChar w:fldCharType="begin"/>
      </w:r>
      <w:r>
        <w:rPr>
          <w:rFonts w:ascii="Times New Roman" w:hAnsi="Times New Roman"/>
          <w:b/>
          <w:bCs/>
          <w:szCs w:val="24"/>
        </w:rPr>
        <w:instrText xml:space="preserve"> TOC \o "1-2" \h \z \u </w:instrText>
      </w:r>
      <w:r>
        <w:rPr>
          <w:rFonts w:ascii="Times New Roman" w:hAnsi="Times New Roman"/>
          <w:b/>
          <w:bCs/>
          <w:szCs w:val="24"/>
        </w:rPr>
        <w:fldChar w:fldCharType="separate"/>
      </w:r>
      <w:r>
        <w:fldChar w:fldCharType="begin"/>
      </w:r>
      <w:r>
        <w:instrText xml:space="preserve"> HYPERLINK \l "_Toc14552" </w:instrText>
      </w:r>
      <w:r>
        <w:fldChar w:fldCharType="separate"/>
      </w:r>
      <w:r>
        <w:rPr>
          <w:rFonts w:hint="eastAsia"/>
        </w:rPr>
        <w:t>表一 验收监测基本信息</w:t>
      </w:r>
      <w:r>
        <w:tab/>
      </w:r>
      <w:r>
        <w:fldChar w:fldCharType="begin"/>
      </w:r>
      <w:r>
        <w:instrText xml:space="preserve"> PAGEREF _Toc14552 \h </w:instrText>
      </w:r>
      <w:r>
        <w:fldChar w:fldCharType="separate"/>
      </w:r>
      <w:r>
        <w:t>3</w:t>
      </w:r>
      <w:r>
        <w:fldChar w:fldCharType="end"/>
      </w:r>
      <w:r>
        <w:fldChar w:fldCharType="end"/>
      </w:r>
    </w:p>
    <w:p>
      <w:pPr>
        <w:pStyle w:val="24"/>
        <w:tabs>
          <w:tab w:val="right" w:leader="dot" w:pos="9638"/>
          <w:tab w:val="clear" w:pos="9628"/>
        </w:tabs>
      </w:pPr>
      <w:r>
        <w:fldChar w:fldCharType="begin"/>
      </w:r>
      <w:r>
        <w:instrText xml:space="preserve"> HYPERLINK \l "_Toc7967" </w:instrText>
      </w:r>
      <w:r>
        <w:fldChar w:fldCharType="separate"/>
      </w:r>
      <w:r>
        <w:rPr>
          <w:rFonts w:hint="eastAsia" w:asciiTheme="majorEastAsia" w:hAnsiTheme="majorEastAsia" w:eastAsiaTheme="majorEastAsia" w:cstheme="majorEastAsia"/>
          <w:bCs/>
          <w:spacing w:val="-3"/>
        </w:rPr>
        <w:t>表二调查范围、因子、目标、重点</w:t>
      </w:r>
      <w:r>
        <w:tab/>
      </w:r>
      <w:r>
        <w:fldChar w:fldCharType="begin"/>
      </w:r>
      <w:r>
        <w:instrText xml:space="preserve"> PAGEREF _Toc7967 \h </w:instrText>
      </w:r>
      <w:r>
        <w:fldChar w:fldCharType="separate"/>
      </w:r>
      <w:r>
        <w:t>4</w:t>
      </w:r>
      <w:r>
        <w:fldChar w:fldCharType="end"/>
      </w:r>
      <w:r>
        <w:fldChar w:fldCharType="end"/>
      </w:r>
    </w:p>
    <w:p>
      <w:pPr>
        <w:pStyle w:val="24"/>
        <w:tabs>
          <w:tab w:val="right" w:leader="dot" w:pos="9638"/>
          <w:tab w:val="clear" w:pos="9628"/>
        </w:tabs>
      </w:pPr>
      <w:r>
        <w:fldChar w:fldCharType="begin"/>
      </w:r>
      <w:r>
        <w:instrText xml:space="preserve"> HYPERLINK \l "_Toc32530" </w:instrText>
      </w:r>
      <w:r>
        <w:fldChar w:fldCharType="separate"/>
      </w:r>
      <w:r>
        <w:rPr>
          <w:rFonts w:hint="eastAsia" w:cs="宋体"/>
          <w:bCs/>
          <w:spacing w:val="-4"/>
        </w:rPr>
        <w:t>表三验收执行标准</w:t>
      </w:r>
      <w:r>
        <w:tab/>
      </w:r>
      <w:r>
        <w:fldChar w:fldCharType="begin"/>
      </w:r>
      <w:r>
        <w:instrText xml:space="preserve"> PAGEREF _Toc32530 \h </w:instrText>
      </w:r>
      <w:r>
        <w:fldChar w:fldCharType="separate"/>
      </w:r>
      <w:r>
        <w:t>5</w:t>
      </w:r>
      <w:r>
        <w:fldChar w:fldCharType="end"/>
      </w:r>
      <w:r>
        <w:fldChar w:fldCharType="end"/>
      </w:r>
    </w:p>
    <w:p>
      <w:pPr>
        <w:pStyle w:val="24"/>
        <w:tabs>
          <w:tab w:val="right" w:leader="dot" w:pos="9638"/>
          <w:tab w:val="clear" w:pos="9628"/>
        </w:tabs>
      </w:pPr>
      <w:r>
        <w:fldChar w:fldCharType="begin"/>
      </w:r>
      <w:r>
        <w:instrText xml:space="preserve"> HYPERLINK \l "_Toc10130" </w:instrText>
      </w:r>
      <w:r>
        <w:fldChar w:fldCharType="separate"/>
      </w:r>
      <w:r>
        <w:t>表</w:t>
      </w:r>
      <w:r>
        <w:rPr>
          <w:rFonts w:hint="eastAsia"/>
        </w:rPr>
        <w:t>四</w:t>
      </w:r>
      <w:r>
        <w:t xml:space="preserve"> 主要生产工艺及污染物产出流程（附示意图）</w:t>
      </w:r>
      <w:r>
        <w:tab/>
      </w:r>
      <w:r>
        <w:fldChar w:fldCharType="begin"/>
      </w:r>
      <w:r>
        <w:instrText xml:space="preserve"> PAGEREF _Toc10130 \h </w:instrText>
      </w:r>
      <w:r>
        <w:fldChar w:fldCharType="separate"/>
      </w:r>
      <w:r>
        <w:t>6</w:t>
      </w:r>
      <w:r>
        <w:fldChar w:fldCharType="end"/>
      </w:r>
      <w:r>
        <w:fldChar w:fldCharType="end"/>
      </w:r>
    </w:p>
    <w:p>
      <w:pPr>
        <w:pStyle w:val="24"/>
        <w:tabs>
          <w:tab w:val="right" w:leader="dot" w:pos="9638"/>
          <w:tab w:val="clear" w:pos="9628"/>
        </w:tabs>
      </w:pPr>
      <w:r>
        <w:fldChar w:fldCharType="begin"/>
      </w:r>
      <w:r>
        <w:instrText xml:space="preserve"> HYPERLINK \l "_Toc4862" </w:instrText>
      </w:r>
      <w:r>
        <w:fldChar w:fldCharType="separate"/>
      </w:r>
      <w:r>
        <w:t>表</w:t>
      </w:r>
      <w:r>
        <w:rPr>
          <w:rFonts w:hint="eastAsia"/>
        </w:rPr>
        <w:t>五</w:t>
      </w:r>
      <w:r>
        <w:t xml:space="preserve"> 主要污染源、污染物处理和排放流程</w:t>
      </w:r>
      <w:r>
        <w:tab/>
      </w:r>
      <w:r>
        <w:fldChar w:fldCharType="begin"/>
      </w:r>
      <w:r>
        <w:instrText xml:space="preserve"> PAGEREF _Toc4862 \h </w:instrText>
      </w:r>
      <w:r>
        <w:fldChar w:fldCharType="separate"/>
      </w:r>
      <w:r>
        <w:t>14</w:t>
      </w:r>
      <w:r>
        <w:fldChar w:fldCharType="end"/>
      </w:r>
      <w:r>
        <w:fldChar w:fldCharType="end"/>
      </w:r>
    </w:p>
    <w:p>
      <w:pPr>
        <w:pStyle w:val="24"/>
        <w:tabs>
          <w:tab w:val="right" w:leader="dot" w:pos="9638"/>
          <w:tab w:val="clear" w:pos="9628"/>
        </w:tabs>
      </w:pPr>
      <w:r>
        <w:fldChar w:fldCharType="begin"/>
      </w:r>
      <w:r>
        <w:instrText xml:space="preserve"> HYPERLINK \l "_Toc10277" </w:instrText>
      </w:r>
      <w:r>
        <w:fldChar w:fldCharType="separate"/>
      </w:r>
      <w:r>
        <w:rPr>
          <w:rFonts w:hint="eastAsia" w:cs="宋体"/>
          <w:spacing w:val="-4"/>
        </w:rPr>
        <w:t>表</w:t>
      </w:r>
      <w:r>
        <w:rPr>
          <w:rFonts w:hint="eastAsia" w:cs="宋体"/>
          <w:spacing w:val="-53"/>
        </w:rPr>
        <w:t>六</w:t>
      </w:r>
      <w:r>
        <w:rPr>
          <w:rFonts w:hint="eastAsia" w:cs="宋体"/>
          <w:spacing w:val="-4"/>
        </w:rPr>
        <w:t>环境影响评价回顾</w:t>
      </w:r>
      <w:r>
        <w:tab/>
      </w:r>
      <w:r>
        <w:fldChar w:fldCharType="begin"/>
      </w:r>
      <w:r>
        <w:instrText xml:space="preserve"> PAGEREF _Toc10277 \h </w:instrText>
      </w:r>
      <w:r>
        <w:fldChar w:fldCharType="separate"/>
      </w:r>
      <w:r>
        <w:t>16</w:t>
      </w:r>
      <w:r>
        <w:fldChar w:fldCharType="end"/>
      </w:r>
      <w:r>
        <w:fldChar w:fldCharType="end"/>
      </w:r>
    </w:p>
    <w:p>
      <w:pPr>
        <w:pStyle w:val="24"/>
        <w:tabs>
          <w:tab w:val="right" w:leader="dot" w:pos="9638"/>
          <w:tab w:val="clear" w:pos="9628"/>
        </w:tabs>
      </w:pPr>
      <w:r>
        <w:fldChar w:fldCharType="begin"/>
      </w:r>
      <w:r>
        <w:instrText xml:space="preserve"> HYPERLINK \l "_Toc4057" </w:instrText>
      </w:r>
      <w:r>
        <w:fldChar w:fldCharType="separate"/>
      </w:r>
      <w:r>
        <w:t>表</w:t>
      </w:r>
      <w:r>
        <w:rPr>
          <w:rFonts w:hint="eastAsia"/>
        </w:rPr>
        <w:t>七  建设项目环评报告表审批部门审批决定</w:t>
      </w:r>
      <w:r>
        <w:tab/>
      </w:r>
      <w:r>
        <w:fldChar w:fldCharType="begin"/>
      </w:r>
      <w:r>
        <w:instrText xml:space="preserve"> PAGEREF _Toc4057 \h </w:instrText>
      </w:r>
      <w:r>
        <w:fldChar w:fldCharType="separate"/>
      </w:r>
      <w:r>
        <w:t>17</w:t>
      </w:r>
      <w:r>
        <w:fldChar w:fldCharType="end"/>
      </w:r>
      <w:r>
        <w:fldChar w:fldCharType="end"/>
      </w:r>
    </w:p>
    <w:p>
      <w:pPr>
        <w:pStyle w:val="24"/>
        <w:tabs>
          <w:tab w:val="right" w:leader="dot" w:pos="9638"/>
          <w:tab w:val="clear" w:pos="9628"/>
        </w:tabs>
      </w:pPr>
      <w:r>
        <w:fldChar w:fldCharType="begin"/>
      </w:r>
      <w:r>
        <w:instrText xml:space="preserve"> HYPERLINK \l "_Toc6896" </w:instrText>
      </w:r>
      <w:r>
        <w:fldChar w:fldCharType="separate"/>
      </w:r>
      <w:r>
        <w:t>表</w:t>
      </w:r>
      <w:r>
        <w:rPr>
          <w:rFonts w:hint="eastAsia"/>
        </w:rPr>
        <w:t>八 验收监测质量保证及质量控制</w:t>
      </w:r>
      <w:r>
        <w:tab/>
      </w:r>
      <w:r>
        <w:fldChar w:fldCharType="begin"/>
      </w:r>
      <w:r>
        <w:instrText xml:space="preserve"> PAGEREF _Toc6896 \h </w:instrText>
      </w:r>
      <w:r>
        <w:fldChar w:fldCharType="separate"/>
      </w:r>
      <w:r>
        <w:t>21</w:t>
      </w:r>
      <w:r>
        <w:fldChar w:fldCharType="end"/>
      </w:r>
      <w:r>
        <w:fldChar w:fldCharType="end"/>
      </w:r>
    </w:p>
    <w:p>
      <w:pPr>
        <w:pStyle w:val="24"/>
        <w:tabs>
          <w:tab w:val="right" w:leader="dot" w:pos="9638"/>
          <w:tab w:val="clear" w:pos="9628"/>
        </w:tabs>
      </w:pPr>
      <w:r>
        <w:fldChar w:fldCharType="begin"/>
      </w:r>
      <w:r>
        <w:instrText xml:space="preserve"> HYPERLINK \l "_Toc19463" </w:instrText>
      </w:r>
      <w:r>
        <w:fldChar w:fldCharType="separate"/>
      </w:r>
      <w:r>
        <w:rPr>
          <w:rFonts w:hint="eastAsia" w:cs="宋体"/>
          <w:bCs/>
          <w:spacing w:val="-4"/>
        </w:rPr>
        <w:t>表</w:t>
      </w:r>
      <w:r>
        <w:rPr>
          <w:rFonts w:hint="eastAsia" w:cs="宋体"/>
          <w:bCs/>
          <w:spacing w:val="-47"/>
        </w:rPr>
        <w:t>九</w:t>
      </w:r>
      <w:r>
        <w:rPr>
          <w:rFonts w:hint="eastAsia" w:cs="宋体"/>
          <w:bCs/>
          <w:spacing w:val="-47"/>
          <w:lang w:val="en-US" w:eastAsia="zh-CN"/>
        </w:rPr>
        <w:t xml:space="preserve">       </w:t>
      </w:r>
      <w:r>
        <w:rPr>
          <w:rFonts w:hint="eastAsia" w:cs="宋体"/>
          <w:bCs/>
          <w:spacing w:val="-4"/>
        </w:rPr>
        <w:t>环境保护措施执行情况</w:t>
      </w:r>
      <w:r>
        <w:tab/>
      </w:r>
      <w:r>
        <w:fldChar w:fldCharType="begin"/>
      </w:r>
      <w:r>
        <w:instrText xml:space="preserve"> PAGEREF _Toc19463 \h </w:instrText>
      </w:r>
      <w:r>
        <w:fldChar w:fldCharType="separate"/>
      </w:r>
      <w:r>
        <w:t>25</w:t>
      </w:r>
      <w:r>
        <w:fldChar w:fldCharType="end"/>
      </w:r>
      <w:r>
        <w:fldChar w:fldCharType="end"/>
      </w:r>
    </w:p>
    <w:p>
      <w:pPr>
        <w:pStyle w:val="24"/>
        <w:tabs>
          <w:tab w:val="right" w:leader="dot" w:pos="9638"/>
          <w:tab w:val="clear" w:pos="9628"/>
        </w:tabs>
      </w:pPr>
      <w:r>
        <w:fldChar w:fldCharType="begin"/>
      </w:r>
      <w:r>
        <w:instrText xml:space="preserve"> HYPERLINK \l "_Toc14048" </w:instrText>
      </w:r>
      <w:r>
        <w:fldChar w:fldCharType="separate"/>
      </w:r>
      <w:r>
        <w:rPr>
          <w:rFonts w:hint="eastAsia"/>
          <w:bCs/>
        </w:rPr>
        <w:t>表十 环境影响调查</w:t>
      </w:r>
      <w:r>
        <w:tab/>
      </w:r>
      <w:r>
        <w:fldChar w:fldCharType="begin"/>
      </w:r>
      <w:r>
        <w:instrText xml:space="preserve"> PAGEREF _Toc14048 \h </w:instrText>
      </w:r>
      <w:r>
        <w:fldChar w:fldCharType="separate"/>
      </w:r>
      <w:r>
        <w:t>26</w:t>
      </w:r>
      <w:r>
        <w:fldChar w:fldCharType="end"/>
      </w:r>
      <w:r>
        <w:fldChar w:fldCharType="end"/>
      </w:r>
    </w:p>
    <w:p>
      <w:pPr>
        <w:pStyle w:val="24"/>
        <w:tabs>
          <w:tab w:val="right" w:leader="dot" w:pos="9638"/>
          <w:tab w:val="clear" w:pos="9628"/>
        </w:tabs>
      </w:pPr>
      <w:r>
        <w:fldChar w:fldCharType="begin"/>
      </w:r>
      <w:r>
        <w:instrText xml:space="preserve"> HYPERLINK \l "_Toc23661" </w:instrText>
      </w:r>
      <w:r>
        <w:fldChar w:fldCharType="separate"/>
      </w:r>
      <w:r>
        <w:rPr>
          <w:rFonts w:hint="eastAsia"/>
        </w:rPr>
        <w:t>表十一 验收调查结论及建议</w:t>
      </w:r>
      <w:r>
        <w:tab/>
      </w:r>
      <w:r>
        <w:fldChar w:fldCharType="begin"/>
      </w:r>
      <w:r>
        <w:instrText xml:space="preserve"> PAGEREF _Toc23661 \h </w:instrText>
      </w:r>
      <w:r>
        <w:fldChar w:fldCharType="separate"/>
      </w:r>
      <w:r>
        <w:t>28</w:t>
      </w:r>
      <w:r>
        <w:fldChar w:fldCharType="end"/>
      </w:r>
      <w:r>
        <w:fldChar w:fldCharType="end"/>
      </w:r>
    </w:p>
    <w:p>
      <w:pPr>
        <w:pStyle w:val="24"/>
        <w:tabs>
          <w:tab w:val="right" w:leader="dot" w:pos="9638"/>
          <w:tab w:val="clear" w:pos="9628"/>
        </w:tabs>
      </w:pPr>
      <w:r>
        <w:fldChar w:fldCharType="begin"/>
      </w:r>
      <w:r>
        <w:instrText xml:space="preserve"> HYPERLINK \l "_Toc22574" </w:instrText>
      </w:r>
      <w:r>
        <w:fldChar w:fldCharType="separate"/>
      </w:r>
      <w:r>
        <w:t>附件1、项目地理位置图</w:t>
      </w:r>
      <w:r>
        <w:tab/>
      </w:r>
      <w:r>
        <w:fldChar w:fldCharType="begin"/>
      </w:r>
      <w:r>
        <w:instrText xml:space="preserve"> PAGEREF _Toc22574 \h </w:instrText>
      </w:r>
      <w:r>
        <w:fldChar w:fldCharType="separate"/>
      </w:r>
      <w:r>
        <w:t>30</w:t>
      </w:r>
      <w:r>
        <w:fldChar w:fldCharType="end"/>
      </w:r>
      <w:r>
        <w:fldChar w:fldCharType="end"/>
      </w:r>
    </w:p>
    <w:p>
      <w:pPr>
        <w:pStyle w:val="24"/>
        <w:tabs>
          <w:tab w:val="right" w:leader="dot" w:pos="9638"/>
          <w:tab w:val="clear" w:pos="9628"/>
        </w:tabs>
      </w:pPr>
      <w:r>
        <w:fldChar w:fldCharType="begin"/>
      </w:r>
      <w:r>
        <w:instrText xml:space="preserve"> HYPERLINK \l "_Toc930" </w:instrText>
      </w:r>
      <w:r>
        <w:fldChar w:fldCharType="separate"/>
      </w:r>
      <w:r>
        <w:t>附件2、建设项目周边概况图</w:t>
      </w:r>
      <w:r>
        <w:tab/>
      </w:r>
      <w:r>
        <w:fldChar w:fldCharType="begin"/>
      </w:r>
      <w:r>
        <w:instrText xml:space="preserve"> PAGEREF _Toc930 \h </w:instrText>
      </w:r>
      <w:r>
        <w:fldChar w:fldCharType="separate"/>
      </w:r>
      <w:r>
        <w:t>31</w:t>
      </w:r>
      <w:r>
        <w:fldChar w:fldCharType="end"/>
      </w:r>
      <w:r>
        <w:fldChar w:fldCharType="end"/>
      </w:r>
    </w:p>
    <w:p>
      <w:pPr>
        <w:pStyle w:val="24"/>
        <w:tabs>
          <w:tab w:val="right" w:leader="dot" w:pos="9638"/>
          <w:tab w:val="clear" w:pos="9628"/>
        </w:tabs>
      </w:pPr>
      <w:r>
        <w:fldChar w:fldCharType="begin"/>
      </w:r>
      <w:r>
        <w:instrText xml:space="preserve"> HYPERLINK \l "_Toc14670" </w:instrText>
      </w:r>
      <w:r>
        <w:fldChar w:fldCharType="separate"/>
      </w:r>
      <w:r>
        <w:t>附件3、建设项目平面布置图</w:t>
      </w:r>
      <w:r>
        <w:tab/>
      </w:r>
      <w:r>
        <w:fldChar w:fldCharType="begin"/>
      </w:r>
      <w:r>
        <w:instrText xml:space="preserve"> PAGEREF _Toc14670 \h </w:instrText>
      </w:r>
      <w:r>
        <w:fldChar w:fldCharType="separate"/>
      </w:r>
      <w:r>
        <w:t>32</w:t>
      </w:r>
      <w:r>
        <w:fldChar w:fldCharType="end"/>
      </w:r>
      <w:r>
        <w:fldChar w:fldCharType="end"/>
      </w:r>
    </w:p>
    <w:p>
      <w:pPr>
        <w:pStyle w:val="24"/>
        <w:tabs>
          <w:tab w:val="right" w:leader="dot" w:pos="9638"/>
          <w:tab w:val="clear" w:pos="9628"/>
        </w:tabs>
      </w:pPr>
      <w:r>
        <w:fldChar w:fldCharType="begin"/>
      </w:r>
      <w:r>
        <w:instrText xml:space="preserve"> HYPERLINK \l "_Toc29597" </w:instrText>
      </w:r>
      <w:r>
        <w:fldChar w:fldCharType="separate"/>
      </w:r>
      <w:r>
        <w:t>附件4、建设项目竣工环境保护“三同时”验收登记表</w:t>
      </w:r>
      <w:r>
        <w:tab/>
      </w:r>
      <w:r>
        <w:fldChar w:fldCharType="begin"/>
      </w:r>
      <w:r>
        <w:instrText xml:space="preserve"> PAGEREF _Toc29597 \h </w:instrText>
      </w:r>
      <w:r>
        <w:fldChar w:fldCharType="separate"/>
      </w:r>
      <w:r>
        <w:t>33</w:t>
      </w:r>
      <w:r>
        <w:fldChar w:fldCharType="end"/>
      </w:r>
      <w:r>
        <w:fldChar w:fldCharType="end"/>
      </w:r>
    </w:p>
    <w:p>
      <w:pPr>
        <w:pStyle w:val="24"/>
        <w:tabs>
          <w:tab w:val="right" w:leader="dot" w:pos="9638"/>
          <w:tab w:val="clear" w:pos="9628"/>
        </w:tabs>
      </w:pPr>
      <w:r>
        <w:fldChar w:fldCharType="begin"/>
      </w:r>
      <w:r>
        <w:instrText xml:space="preserve"> HYPERLINK \l "_Toc26730" </w:instrText>
      </w:r>
      <w:r>
        <w:fldChar w:fldCharType="separate"/>
      </w:r>
      <w:r>
        <w:t>附件5、</w:t>
      </w:r>
      <w:r>
        <w:rPr>
          <w:rFonts w:hint="eastAsia"/>
        </w:rPr>
        <w:t>建设项目环保审批意见</w:t>
      </w:r>
      <w:r>
        <w:tab/>
      </w:r>
      <w:r>
        <w:fldChar w:fldCharType="begin"/>
      </w:r>
      <w:r>
        <w:instrText xml:space="preserve"> PAGEREF _Toc26730 \h </w:instrText>
      </w:r>
      <w:r>
        <w:fldChar w:fldCharType="separate"/>
      </w:r>
      <w:r>
        <w:t>34</w:t>
      </w:r>
      <w:r>
        <w:fldChar w:fldCharType="end"/>
      </w:r>
      <w:r>
        <w:fldChar w:fldCharType="end"/>
      </w:r>
    </w:p>
    <w:p>
      <w:pPr>
        <w:pStyle w:val="24"/>
        <w:tabs>
          <w:tab w:val="right" w:leader="dot" w:pos="9638"/>
          <w:tab w:val="clear" w:pos="9628"/>
        </w:tabs>
      </w:pPr>
      <w:r>
        <w:fldChar w:fldCharType="begin"/>
      </w:r>
      <w:r>
        <w:instrText xml:space="preserve"> HYPERLINK \l "_Toc15810" </w:instrText>
      </w:r>
      <w:r>
        <w:fldChar w:fldCharType="separate"/>
      </w:r>
      <w:r>
        <w:rPr>
          <w:rFonts w:hint="eastAsia"/>
        </w:rPr>
        <w:t>附件6、验收监测报告</w:t>
      </w:r>
      <w:r>
        <w:tab/>
      </w:r>
      <w:r>
        <w:fldChar w:fldCharType="begin"/>
      </w:r>
      <w:r>
        <w:instrText xml:space="preserve"> PAGEREF _Toc15810 \h </w:instrText>
      </w:r>
      <w:r>
        <w:fldChar w:fldCharType="separate"/>
      </w:r>
      <w:r>
        <w:t>36</w:t>
      </w:r>
      <w:r>
        <w:fldChar w:fldCharType="end"/>
      </w:r>
      <w:r>
        <w:fldChar w:fldCharType="end"/>
      </w:r>
    </w:p>
    <w:p>
      <w:pPr>
        <w:pStyle w:val="24"/>
        <w:tabs>
          <w:tab w:val="right" w:leader="dot" w:pos="9638"/>
          <w:tab w:val="clear" w:pos="9628"/>
        </w:tabs>
      </w:pPr>
      <w:r>
        <w:fldChar w:fldCharType="begin"/>
      </w:r>
      <w:r>
        <w:instrText xml:space="preserve"> HYPERLINK \l "_Toc1453" </w:instrText>
      </w:r>
      <w:r>
        <w:fldChar w:fldCharType="separate"/>
      </w:r>
      <w:r>
        <w:t>附件</w:t>
      </w:r>
      <w:r>
        <w:rPr>
          <w:rFonts w:hint="eastAsia"/>
        </w:rPr>
        <w:t>7</w:t>
      </w:r>
      <w:r>
        <w:t>、</w:t>
      </w:r>
      <w:r>
        <w:rPr>
          <w:rFonts w:hint="eastAsia"/>
        </w:rPr>
        <w:t>验收意见及签到表</w:t>
      </w:r>
      <w:r>
        <w:tab/>
      </w:r>
      <w:r>
        <w:fldChar w:fldCharType="begin"/>
      </w:r>
      <w:r>
        <w:instrText xml:space="preserve"> PAGEREF _Toc1453 \h </w:instrText>
      </w:r>
      <w:r>
        <w:fldChar w:fldCharType="separate"/>
      </w:r>
      <w:r>
        <w:t>48</w:t>
      </w:r>
      <w:r>
        <w:fldChar w:fldCharType="end"/>
      </w:r>
      <w:r>
        <w:fldChar w:fldCharType="end"/>
      </w:r>
    </w:p>
    <w:p>
      <w:pPr>
        <w:keepNext/>
        <w:keepLines/>
        <w:spacing w:line="360" w:lineRule="auto"/>
        <w:rPr>
          <w:color w:val="000000"/>
        </w:rPr>
      </w:pPr>
      <w:r>
        <w:rPr>
          <w:color w:val="000000"/>
        </w:rPr>
        <w:fldChar w:fldCharType="end"/>
      </w:r>
    </w:p>
    <w:p>
      <w:pPr>
        <w:pStyle w:val="32"/>
      </w:pPr>
    </w:p>
    <w:p>
      <w:pPr>
        <w:pStyle w:val="32"/>
      </w:pPr>
    </w:p>
    <w:p>
      <w:pPr>
        <w:keepNext/>
        <w:keepLines/>
        <w:spacing w:line="360" w:lineRule="auto"/>
        <w:rPr>
          <w:sz w:val="28"/>
        </w:rPr>
      </w:pPr>
    </w:p>
    <w:p>
      <w:pPr>
        <w:keepNext/>
        <w:keepLines/>
        <w:spacing w:line="360" w:lineRule="auto"/>
        <w:rPr>
          <w:sz w:val="28"/>
        </w:rPr>
      </w:pPr>
    </w:p>
    <w:p>
      <w:pPr>
        <w:spacing w:line="360" w:lineRule="auto"/>
        <w:rPr>
          <w:sz w:val="28"/>
        </w:rPr>
      </w:pPr>
    </w:p>
    <w:p>
      <w:pPr>
        <w:pStyle w:val="32"/>
        <w:tabs>
          <w:tab w:val="left" w:pos="283"/>
        </w:tabs>
        <w:ind w:firstLine="0" w:firstLineChars="0"/>
        <w:outlineLvl w:val="0"/>
        <w:rPr>
          <w:b/>
          <w:bCs/>
          <w:sz w:val="28"/>
        </w:rPr>
      </w:pPr>
      <w:bookmarkStart w:id="0" w:name="_Toc14552"/>
      <w:r>
        <w:rPr>
          <w:rFonts w:hint="eastAsia"/>
          <w:b/>
          <w:bCs/>
          <w:sz w:val="28"/>
        </w:rPr>
        <w:t>表一 验收监测基本信息</w:t>
      </w:r>
      <w:bookmarkEnd w:id="0"/>
    </w:p>
    <w:tbl>
      <w:tblPr>
        <w:tblStyle w:val="33"/>
        <w:tblW w:w="49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5"/>
        <w:gridCol w:w="1692"/>
        <w:gridCol w:w="431"/>
        <w:gridCol w:w="617"/>
        <w:gridCol w:w="820"/>
        <w:gridCol w:w="348"/>
        <w:gridCol w:w="814"/>
        <w:gridCol w:w="1132"/>
        <w:gridCol w:w="433"/>
        <w:gridCol w:w="1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12" w:space="0"/>
              <w:bottom w:val="single" w:color="auto" w:sz="6" w:space="0"/>
            </w:tcBorders>
            <w:shd w:val="clear" w:color="auto" w:fill="auto"/>
            <w:vAlign w:val="center"/>
          </w:tcPr>
          <w:p>
            <w:pPr>
              <w:spacing w:beforeLines="20" w:afterLines="20" w:line="0" w:lineRule="atLeast"/>
              <w:jc w:val="center"/>
              <w:rPr>
                <w:szCs w:val="21"/>
              </w:rPr>
            </w:pPr>
            <w:r>
              <w:rPr>
                <w:szCs w:val="21"/>
              </w:rPr>
              <w:t>建设项目名称</w:t>
            </w:r>
          </w:p>
        </w:tc>
        <w:tc>
          <w:tcPr>
            <w:tcW w:w="4010" w:type="pct"/>
            <w:gridSpan w:val="9"/>
            <w:tcBorders>
              <w:top w:val="single" w:color="auto" w:sz="12" w:space="0"/>
              <w:bottom w:val="single" w:color="auto" w:sz="6" w:space="0"/>
            </w:tcBorders>
            <w:shd w:val="clear" w:color="auto" w:fill="auto"/>
            <w:vAlign w:val="center"/>
          </w:tcPr>
          <w:p>
            <w:pPr>
              <w:pStyle w:val="46"/>
              <w:widowControl w:val="0"/>
              <w:pBdr>
                <w:bottom w:val="none" w:color="auto" w:sz="0" w:space="0"/>
              </w:pBdr>
              <w:spacing w:before="20" w:after="20"/>
              <w:rPr>
                <w:rFonts w:ascii="Times New Roman" w:hAnsi="Times New Roman"/>
                <w:szCs w:val="21"/>
              </w:rPr>
            </w:pPr>
            <w:r>
              <w:rPr>
                <w:rFonts w:hint="eastAsia" w:ascii="Times New Roman" w:hAnsi="Times New Roman"/>
                <w:color w:val="000000"/>
                <w:szCs w:val="21"/>
                <w:lang w:eastAsia="zh-CN"/>
              </w:rPr>
              <w:t>邳州市车辐山戴庄风电场项目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建设单位名称</w:t>
            </w:r>
          </w:p>
        </w:tc>
        <w:tc>
          <w:tcPr>
            <w:tcW w:w="4010" w:type="pct"/>
            <w:gridSpan w:val="9"/>
            <w:tcBorders>
              <w:top w:val="single" w:color="auto" w:sz="6" w:space="0"/>
              <w:bottom w:val="single" w:color="auto" w:sz="6" w:space="0"/>
            </w:tcBorders>
            <w:shd w:val="clear" w:color="auto" w:fill="auto"/>
            <w:vAlign w:val="center"/>
          </w:tcPr>
          <w:p>
            <w:pPr>
              <w:pStyle w:val="46"/>
              <w:widowControl w:val="0"/>
              <w:pBdr>
                <w:bottom w:val="none" w:color="auto" w:sz="0" w:space="0"/>
              </w:pBdr>
              <w:spacing w:before="20" w:after="20" w:line="0" w:lineRule="atLeast"/>
              <w:rPr>
                <w:rFonts w:ascii="Times New Roman" w:hAnsi="Times New Roman" w:cs="宋体"/>
                <w:kern w:val="2"/>
                <w:szCs w:val="21"/>
              </w:rPr>
            </w:pPr>
            <w:r>
              <w:rPr>
                <w:rFonts w:hint="eastAsia" w:ascii="Times New Roman" w:hAnsi="Times New Roman"/>
                <w:szCs w:val="21"/>
              </w:rPr>
              <w:t>华润新能源（</w:t>
            </w:r>
            <w:r>
              <w:rPr>
                <w:rFonts w:hint="eastAsia" w:ascii="Times New Roman" w:hAnsi="Times New Roman"/>
                <w:szCs w:val="21"/>
                <w:lang w:eastAsia="zh-CN"/>
              </w:rPr>
              <w:t>邳州</w:t>
            </w:r>
            <w:r>
              <w:rPr>
                <w:rFonts w:hint="eastAsia" w:ascii="Times New Roman" w:hAnsi="Times New Roman"/>
                <w:szCs w:val="21"/>
              </w:rPr>
              <w:t>）有限公司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建设项目性质</w:t>
            </w:r>
          </w:p>
        </w:tc>
        <w:tc>
          <w:tcPr>
            <w:tcW w:w="4010" w:type="pct"/>
            <w:gridSpan w:val="9"/>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s="宋体"/>
                <w:szCs w:val="21"/>
              </w:rPr>
              <w:t>新建√      改扩建     技改    迁建（划√）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bottom w:val="single" w:color="auto" w:sz="6" w:space="0"/>
            </w:tcBorders>
            <w:shd w:val="clear" w:color="auto" w:fill="auto"/>
            <w:vAlign w:val="center"/>
          </w:tcPr>
          <w:p>
            <w:pPr>
              <w:spacing w:beforeLines="20" w:afterLines="20" w:line="0" w:lineRule="atLeast"/>
              <w:jc w:val="center"/>
              <w:rPr>
                <w:szCs w:val="21"/>
              </w:rPr>
            </w:pPr>
            <w:r>
              <w:rPr>
                <w:szCs w:val="21"/>
              </w:rPr>
              <w:t>建设地点</w:t>
            </w:r>
          </w:p>
        </w:tc>
        <w:tc>
          <w:tcPr>
            <w:tcW w:w="4010" w:type="pct"/>
            <w:gridSpan w:val="9"/>
            <w:tcBorders>
              <w:top w:val="single" w:color="auto" w:sz="6" w:space="0"/>
              <w:bottom w:val="single" w:color="auto" w:sz="6" w:space="0"/>
            </w:tcBorders>
            <w:shd w:val="clear" w:color="auto" w:fill="auto"/>
            <w:vAlign w:val="center"/>
          </w:tcPr>
          <w:p>
            <w:pPr>
              <w:spacing w:before="20" w:after="20" w:line="0" w:lineRule="atLeast"/>
              <w:jc w:val="center"/>
              <w:rPr>
                <w:rFonts w:cs="宋体"/>
                <w:szCs w:val="21"/>
              </w:rPr>
            </w:pPr>
            <w:r>
              <w:rPr>
                <w:rFonts w:hint="eastAsia"/>
                <w:color w:val="000000"/>
                <w:szCs w:val="21"/>
                <w:lang w:eastAsia="zh-CN"/>
              </w:rPr>
              <w:t>邳州市车辐山镇、戴庄镇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tcBorders>
              <w:top w:val="single" w:color="auto" w:sz="6" w:space="0"/>
            </w:tcBorders>
            <w:vAlign w:val="center"/>
          </w:tcPr>
          <w:p>
            <w:pPr>
              <w:spacing w:before="20" w:after="20" w:line="0" w:lineRule="atLeast"/>
              <w:jc w:val="center"/>
              <w:rPr>
                <w:szCs w:val="21"/>
              </w:rPr>
            </w:pPr>
            <w:r>
              <w:rPr>
                <w:szCs w:val="21"/>
              </w:rPr>
              <w:t>主要产品名称</w:t>
            </w:r>
          </w:p>
        </w:tc>
        <w:tc>
          <w:tcPr>
            <w:tcW w:w="1079" w:type="pct"/>
            <w:gridSpan w:val="2"/>
            <w:tcBorders>
              <w:top w:val="single" w:color="auto" w:sz="6" w:space="0"/>
            </w:tcBorders>
            <w:vAlign w:val="center"/>
          </w:tcPr>
          <w:p>
            <w:pPr>
              <w:jc w:val="center"/>
              <w:rPr>
                <w:color w:val="000000"/>
                <w:szCs w:val="21"/>
              </w:rPr>
            </w:pPr>
            <w:r>
              <w:rPr>
                <w:rFonts w:hint="eastAsia"/>
                <w:szCs w:val="21"/>
              </w:rPr>
              <w:t>电</w:t>
            </w:r>
          </w:p>
        </w:tc>
        <w:tc>
          <w:tcPr>
            <w:tcW w:w="908" w:type="pct"/>
            <w:gridSpan w:val="3"/>
            <w:tcBorders>
              <w:top w:val="single" w:color="auto" w:sz="6" w:space="0"/>
            </w:tcBorders>
            <w:vAlign w:val="center"/>
          </w:tcPr>
          <w:p>
            <w:pPr>
              <w:jc w:val="center"/>
              <w:rPr>
                <w:color w:val="000000"/>
                <w:szCs w:val="21"/>
              </w:rPr>
            </w:pPr>
            <w:r>
              <w:rPr>
                <w:rFonts w:hint="eastAsia"/>
                <w:color w:val="000000"/>
                <w:szCs w:val="21"/>
              </w:rPr>
              <w:t>/</w:t>
            </w:r>
          </w:p>
        </w:tc>
        <w:tc>
          <w:tcPr>
            <w:tcW w:w="990" w:type="pct"/>
            <w:gridSpan w:val="2"/>
            <w:tcBorders>
              <w:top w:val="single" w:color="auto" w:sz="6" w:space="0"/>
            </w:tcBorders>
            <w:vAlign w:val="center"/>
          </w:tcPr>
          <w:p>
            <w:pPr>
              <w:jc w:val="center"/>
              <w:rPr>
                <w:color w:val="000000"/>
                <w:szCs w:val="21"/>
              </w:rPr>
            </w:pPr>
            <w:r>
              <w:rPr>
                <w:rFonts w:hint="eastAsia"/>
                <w:color w:val="000000"/>
                <w:szCs w:val="21"/>
              </w:rPr>
              <w:t>/</w:t>
            </w:r>
          </w:p>
        </w:tc>
        <w:tc>
          <w:tcPr>
            <w:tcW w:w="1032" w:type="pct"/>
            <w:gridSpan w:val="2"/>
            <w:tcBorders>
              <w:top w:val="single" w:color="auto" w:sz="6" w:space="0"/>
            </w:tcBorders>
            <w:vAlign w:val="center"/>
          </w:tcPr>
          <w:p>
            <w:pPr>
              <w:jc w:val="center"/>
              <w:rPr>
                <w:color w:val="000000"/>
                <w:szCs w:val="21"/>
              </w:rPr>
            </w:pPr>
            <w:r>
              <w:rPr>
                <w:rFonts w:hint="eastAsia"/>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spacing w:before="20" w:after="20" w:line="0" w:lineRule="atLeast"/>
              <w:jc w:val="center"/>
              <w:rPr>
                <w:szCs w:val="21"/>
              </w:rPr>
            </w:pPr>
            <w:r>
              <w:rPr>
                <w:rFonts w:hint="eastAsia"/>
                <w:szCs w:val="21"/>
              </w:rPr>
              <w:t>环评生产能力</w:t>
            </w:r>
          </w:p>
        </w:tc>
        <w:tc>
          <w:tcPr>
            <w:tcW w:w="1079" w:type="pct"/>
            <w:gridSpan w:val="2"/>
            <w:vAlign w:val="center"/>
          </w:tcPr>
          <w:p>
            <w:pPr>
              <w:jc w:val="center"/>
              <w:rPr>
                <w:rFonts w:hint="default" w:eastAsia="宋体"/>
                <w:lang w:val="en-US" w:eastAsia="zh-CN"/>
              </w:rPr>
            </w:pPr>
            <w:r>
              <w:rPr>
                <w:rFonts w:hint="eastAsia"/>
                <w:spacing w:val="8"/>
                <w:szCs w:val="21"/>
                <w:lang w:val="en-US" w:eastAsia="zh-CN"/>
              </w:rPr>
              <w:t>20788万kWh/a</w:t>
            </w:r>
          </w:p>
        </w:tc>
        <w:tc>
          <w:tcPr>
            <w:tcW w:w="908" w:type="pct"/>
            <w:gridSpan w:val="3"/>
            <w:vAlign w:val="center"/>
          </w:tcPr>
          <w:p>
            <w:pPr>
              <w:jc w:val="center"/>
            </w:pPr>
            <w:r>
              <w:t>/</w:t>
            </w:r>
          </w:p>
        </w:tc>
        <w:tc>
          <w:tcPr>
            <w:tcW w:w="990" w:type="pct"/>
            <w:gridSpan w:val="2"/>
            <w:vAlign w:val="center"/>
          </w:tcPr>
          <w:p>
            <w:pPr>
              <w:jc w:val="center"/>
            </w:pPr>
            <w:r>
              <w:t>/</w:t>
            </w:r>
          </w:p>
        </w:tc>
        <w:tc>
          <w:tcPr>
            <w:tcW w:w="1032" w:type="pct"/>
            <w:gridSpan w:val="2"/>
            <w:vAlign w:val="center"/>
          </w:tcPr>
          <w:p>
            <w:pPr>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实际生产能力</w:t>
            </w:r>
          </w:p>
        </w:tc>
        <w:tc>
          <w:tcPr>
            <w:tcW w:w="1079" w:type="pct"/>
            <w:gridSpan w:val="2"/>
            <w:vAlign w:val="center"/>
          </w:tcPr>
          <w:p>
            <w:pPr>
              <w:jc w:val="center"/>
            </w:pPr>
            <w:r>
              <w:rPr>
                <w:rFonts w:hint="eastAsia"/>
                <w:spacing w:val="8"/>
                <w:szCs w:val="21"/>
                <w:lang w:val="en-US" w:eastAsia="zh-CN"/>
              </w:rPr>
              <w:t>20788万kWh/a</w:t>
            </w:r>
          </w:p>
        </w:tc>
        <w:tc>
          <w:tcPr>
            <w:tcW w:w="908" w:type="pct"/>
            <w:gridSpan w:val="3"/>
            <w:vAlign w:val="center"/>
          </w:tcPr>
          <w:p>
            <w:pPr>
              <w:jc w:val="center"/>
            </w:pPr>
            <w:r>
              <w:t>/</w:t>
            </w:r>
          </w:p>
        </w:tc>
        <w:tc>
          <w:tcPr>
            <w:tcW w:w="990" w:type="pct"/>
            <w:gridSpan w:val="2"/>
            <w:vAlign w:val="center"/>
          </w:tcPr>
          <w:p>
            <w:pPr>
              <w:jc w:val="center"/>
            </w:pPr>
            <w:r>
              <w:t>/</w:t>
            </w:r>
          </w:p>
        </w:tc>
        <w:tc>
          <w:tcPr>
            <w:tcW w:w="1032" w:type="pct"/>
            <w:gridSpan w:val="2"/>
            <w:vAlign w:val="center"/>
          </w:tcPr>
          <w:p>
            <w:pPr>
              <w:jc w:val="cente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9" w:type="pct"/>
            <w:vAlign w:val="center"/>
          </w:tcPr>
          <w:p>
            <w:pPr>
              <w:jc w:val="center"/>
              <w:rPr>
                <w:szCs w:val="21"/>
              </w:rPr>
            </w:pPr>
            <w:r>
              <w:rPr>
                <w:szCs w:val="21"/>
              </w:rPr>
              <w:t>环评时间</w:t>
            </w:r>
          </w:p>
        </w:tc>
        <w:tc>
          <w:tcPr>
            <w:tcW w:w="1393" w:type="pct"/>
            <w:gridSpan w:val="3"/>
            <w:vAlign w:val="center"/>
          </w:tcPr>
          <w:p>
            <w:pPr>
              <w:jc w:val="center"/>
              <w:rPr>
                <w:color w:val="000000" w:themeColor="text1"/>
                <w:szCs w:val="21"/>
              </w:rPr>
            </w:pPr>
            <w:r>
              <w:rPr>
                <w:rFonts w:hint="eastAsia"/>
                <w:color w:val="000000" w:themeColor="text1"/>
                <w:szCs w:val="21"/>
              </w:rPr>
              <w:t>20</w:t>
            </w:r>
            <w:r>
              <w:rPr>
                <w:rFonts w:hint="eastAsia"/>
                <w:color w:val="000000" w:themeColor="text1"/>
                <w:szCs w:val="21"/>
                <w:lang w:val="en-US" w:eastAsia="zh-CN"/>
              </w:rPr>
              <w:t>19</w:t>
            </w:r>
            <w:r>
              <w:rPr>
                <w:rFonts w:hint="eastAsia"/>
                <w:color w:val="000000" w:themeColor="text1"/>
                <w:szCs w:val="21"/>
              </w:rPr>
              <w:t>年</w:t>
            </w:r>
            <w:r>
              <w:rPr>
                <w:rFonts w:hint="eastAsia"/>
                <w:color w:val="000000" w:themeColor="text1"/>
                <w:szCs w:val="21"/>
                <w:lang w:val="en-US" w:eastAsia="zh-CN"/>
              </w:rPr>
              <w:t>9</w:t>
            </w:r>
            <w:r>
              <w:rPr>
                <w:rFonts w:hint="eastAsia"/>
                <w:color w:val="000000" w:themeColor="text1"/>
                <w:szCs w:val="21"/>
              </w:rPr>
              <w:t>月</w:t>
            </w:r>
          </w:p>
        </w:tc>
        <w:tc>
          <w:tcPr>
            <w:tcW w:w="1008" w:type="pct"/>
            <w:gridSpan w:val="3"/>
            <w:vAlign w:val="center"/>
          </w:tcPr>
          <w:p>
            <w:pPr>
              <w:jc w:val="center"/>
              <w:rPr>
                <w:color w:val="000000" w:themeColor="text1"/>
                <w:szCs w:val="21"/>
              </w:rPr>
            </w:pPr>
            <w:r>
              <w:rPr>
                <w:rFonts w:hint="eastAsia"/>
                <w:color w:val="000000" w:themeColor="text1"/>
                <w:szCs w:val="21"/>
              </w:rPr>
              <w:t>项目</w:t>
            </w:r>
            <w:r>
              <w:rPr>
                <w:color w:val="000000" w:themeColor="text1"/>
                <w:szCs w:val="21"/>
              </w:rPr>
              <w:t>开工</w:t>
            </w:r>
            <w:r>
              <w:rPr>
                <w:rFonts w:hint="eastAsia"/>
                <w:color w:val="000000" w:themeColor="text1"/>
                <w:szCs w:val="21"/>
              </w:rPr>
              <w:t>建设</w:t>
            </w:r>
            <w:r>
              <w:rPr>
                <w:color w:val="000000" w:themeColor="text1"/>
                <w:szCs w:val="21"/>
              </w:rPr>
              <w:t>时间</w:t>
            </w:r>
          </w:p>
        </w:tc>
        <w:tc>
          <w:tcPr>
            <w:tcW w:w="1609" w:type="pct"/>
            <w:gridSpan w:val="3"/>
            <w:vAlign w:val="center"/>
          </w:tcPr>
          <w:p>
            <w:pPr>
              <w:jc w:val="center"/>
              <w:rPr>
                <w:color w:val="000000" w:themeColor="text1"/>
                <w:szCs w:val="21"/>
              </w:rPr>
            </w:pPr>
            <w:r>
              <w:rPr>
                <w:rFonts w:hint="eastAsia"/>
                <w:color w:val="000000" w:themeColor="text1"/>
                <w:szCs w:val="21"/>
              </w:rPr>
              <w:t>2020年7月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jc w:val="center"/>
              <w:rPr>
                <w:color w:val="auto"/>
                <w:szCs w:val="21"/>
              </w:rPr>
            </w:pPr>
            <w:r>
              <w:rPr>
                <w:rFonts w:hint="eastAsia"/>
                <w:color w:val="auto"/>
                <w:szCs w:val="21"/>
              </w:rPr>
              <w:t>调试时间</w:t>
            </w:r>
          </w:p>
        </w:tc>
        <w:tc>
          <w:tcPr>
            <w:tcW w:w="1393" w:type="pct"/>
            <w:gridSpan w:val="3"/>
            <w:vAlign w:val="center"/>
          </w:tcPr>
          <w:p>
            <w:pPr>
              <w:jc w:val="center"/>
              <w:rPr>
                <w:color w:val="auto"/>
                <w:szCs w:val="21"/>
              </w:rPr>
            </w:pPr>
            <w:r>
              <w:rPr>
                <w:color w:val="auto"/>
                <w:szCs w:val="21"/>
              </w:rPr>
              <w:t>20</w:t>
            </w:r>
            <w:r>
              <w:rPr>
                <w:rFonts w:hint="eastAsia"/>
                <w:color w:val="auto"/>
                <w:szCs w:val="21"/>
              </w:rPr>
              <w:t>21年10月</w:t>
            </w:r>
          </w:p>
        </w:tc>
        <w:tc>
          <w:tcPr>
            <w:tcW w:w="1008" w:type="pct"/>
            <w:gridSpan w:val="3"/>
            <w:vAlign w:val="center"/>
          </w:tcPr>
          <w:p>
            <w:pPr>
              <w:jc w:val="center"/>
              <w:rPr>
                <w:color w:val="auto"/>
                <w:szCs w:val="21"/>
              </w:rPr>
            </w:pPr>
            <w:r>
              <w:rPr>
                <w:color w:val="auto"/>
                <w:szCs w:val="21"/>
              </w:rPr>
              <w:t>验收现场监测时间</w:t>
            </w:r>
          </w:p>
        </w:tc>
        <w:tc>
          <w:tcPr>
            <w:tcW w:w="1609" w:type="pct"/>
            <w:gridSpan w:val="3"/>
            <w:vAlign w:val="center"/>
          </w:tcPr>
          <w:p>
            <w:pPr>
              <w:jc w:val="center"/>
              <w:rPr>
                <w:color w:val="auto"/>
                <w:szCs w:val="21"/>
              </w:rPr>
            </w:pPr>
            <w:r>
              <w:rPr>
                <w:rFonts w:hint="eastAsia"/>
                <w:color w:val="auto"/>
                <w:szCs w:val="21"/>
              </w:rPr>
              <w:t>202</w:t>
            </w:r>
            <w:r>
              <w:rPr>
                <w:rFonts w:hint="eastAsia"/>
                <w:color w:val="auto"/>
                <w:szCs w:val="21"/>
                <w:lang w:val="en-US" w:eastAsia="zh-CN"/>
              </w:rPr>
              <w:t>2</w:t>
            </w:r>
            <w:r>
              <w:rPr>
                <w:rFonts w:hint="eastAsia"/>
                <w:color w:val="auto"/>
                <w:szCs w:val="21"/>
              </w:rPr>
              <w:t>年</w:t>
            </w:r>
            <w:r>
              <w:rPr>
                <w:rFonts w:hint="eastAsia"/>
                <w:color w:val="auto"/>
                <w:szCs w:val="21"/>
                <w:lang w:val="en-US" w:eastAsia="zh-CN"/>
              </w:rPr>
              <w:t>04</w:t>
            </w:r>
            <w:r>
              <w:rPr>
                <w:rFonts w:hint="eastAsia"/>
                <w:color w:val="auto"/>
                <w:szCs w:val="21"/>
              </w:rPr>
              <w:t>月</w:t>
            </w:r>
            <w:r>
              <w:rPr>
                <w:rFonts w:hint="eastAsia"/>
                <w:color w:val="auto"/>
                <w:szCs w:val="21"/>
                <w:lang w:val="en-US" w:eastAsia="zh-CN"/>
              </w:rPr>
              <w:t>25</w:t>
            </w:r>
            <w:r>
              <w:rPr>
                <w:rFonts w:hint="eastAsia"/>
                <w:color w:val="auto"/>
                <w:szCs w:val="21"/>
              </w:rPr>
              <w:t>日</w:t>
            </w:r>
            <w:r>
              <w:rPr>
                <w:rFonts w:hint="eastAsia"/>
                <w:color w:val="auto"/>
                <w:szCs w:val="21"/>
                <w:lang w:eastAsia="zh-CN"/>
              </w:rPr>
              <w:t>～</w:t>
            </w:r>
            <w:r>
              <w:rPr>
                <w:rFonts w:hint="eastAsia"/>
                <w:color w:val="auto"/>
                <w:szCs w:val="21"/>
                <w:lang w:val="en-US" w:eastAsia="zh-CN"/>
              </w:rPr>
              <w:t>6</w:t>
            </w:r>
            <w:r>
              <w:rPr>
                <w:rFonts w:hint="eastAsia"/>
                <w:color w:val="auto"/>
                <w:szCs w:val="21"/>
              </w:rPr>
              <w:t>月</w:t>
            </w:r>
            <w:r>
              <w:rPr>
                <w:rFonts w:hint="eastAsia"/>
                <w:color w:val="auto"/>
                <w:szCs w:val="21"/>
                <w:lang w:val="en-US" w:eastAsia="zh-CN"/>
              </w:rPr>
              <w:t>7</w:t>
            </w:r>
            <w:r>
              <w:rPr>
                <w:rFonts w:hint="eastAsia"/>
                <w:color w:val="auto"/>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jc w:val="center"/>
              <w:rPr>
                <w:szCs w:val="21"/>
              </w:rPr>
            </w:pPr>
            <w:r>
              <w:rPr>
                <w:szCs w:val="21"/>
              </w:rPr>
              <w:t>环评报告表</w:t>
            </w:r>
          </w:p>
          <w:p>
            <w:pPr>
              <w:jc w:val="center"/>
              <w:rPr>
                <w:szCs w:val="21"/>
              </w:rPr>
            </w:pPr>
            <w:r>
              <w:rPr>
                <w:szCs w:val="21"/>
              </w:rPr>
              <w:t>审批部门</w:t>
            </w:r>
          </w:p>
        </w:tc>
        <w:tc>
          <w:tcPr>
            <w:tcW w:w="1393" w:type="pct"/>
            <w:gridSpan w:val="3"/>
            <w:vAlign w:val="center"/>
          </w:tcPr>
          <w:p>
            <w:pPr>
              <w:jc w:val="center"/>
              <w:rPr>
                <w:szCs w:val="21"/>
              </w:rPr>
            </w:pPr>
            <w:r>
              <w:rPr>
                <w:rFonts w:hint="eastAsia"/>
                <w:szCs w:val="21"/>
                <w:lang w:val="en-US" w:eastAsia="zh-CN"/>
              </w:rPr>
              <w:t>邳州市</w:t>
            </w:r>
            <w:r>
              <w:rPr>
                <w:rFonts w:hint="eastAsia"/>
                <w:szCs w:val="21"/>
              </w:rPr>
              <w:t>环境</w:t>
            </w:r>
            <w:r>
              <w:rPr>
                <w:rFonts w:hint="eastAsia"/>
                <w:szCs w:val="21"/>
                <w:lang w:val="en-US" w:eastAsia="zh-CN"/>
              </w:rPr>
              <w:t>保护</w:t>
            </w:r>
            <w:r>
              <w:rPr>
                <w:rFonts w:hint="eastAsia"/>
                <w:szCs w:val="21"/>
              </w:rPr>
              <w:t>局</w:t>
            </w:r>
          </w:p>
        </w:tc>
        <w:tc>
          <w:tcPr>
            <w:tcW w:w="1008" w:type="pct"/>
            <w:gridSpan w:val="3"/>
            <w:vAlign w:val="center"/>
          </w:tcPr>
          <w:p>
            <w:pPr>
              <w:jc w:val="center"/>
              <w:rPr>
                <w:szCs w:val="21"/>
              </w:rPr>
            </w:pPr>
            <w:r>
              <w:rPr>
                <w:szCs w:val="21"/>
              </w:rPr>
              <w:t>环评报告表</w:t>
            </w:r>
          </w:p>
          <w:p>
            <w:pPr>
              <w:jc w:val="center"/>
              <w:rPr>
                <w:szCs w:val="21"/>
              </w:rPr>
            </w:pPr>
            <w:r>
              <w:rPr>
                <w:szCs w:val="21"/>
              </w:rPr>
              <w:t>编制单位</w:t>
            </w:r>
          </w:p>
        </w:tc>
        <w:tc>
          <w:tcPr>
            <w:tcW w:w="1609" w:type="pct"/>
            <w:gridSpan w:val="3"/>
            <w:vAlign w:val="center"/>
          </w:tcPr>
          <w:p>
            <w:pPr>
              <w:pStyle w:val="46"/>
              <w:widowControl w:val="0"/>
              <w:pBdr>
                <w:bottom w:val="none" w:color="auto" w:sz="0" w:space="0"/>
              </w:pBdr>
              <w:spacing w:before="0" w:after="0"/>
              <w:rPr>
                <w:rFonts w:ascii="Times New Roman" w:hAnsi="Times New Roman"/>
                <w:kern w:val="2"/>
                <w:szCs w:val="21"/>
              </w:rPr>
            </w:pPr>
            <w:r>
              <w:rPr>
                <w:rFonts w:hint="eastAsia" w:ascii="Times New Roman" w:hAnsi="Times New Roman"/>
                <w:kern w:val="2"/>
                <w:szCs w:val="21"/>
              </w:rPr>
              <w:t>江苏</w:t>
            </w:r>
            <w:r>
              <w:rPr>
                <w:rFonts w:hint="eastAsia" w:ascii="Times New Roman" w:hAnsi="Times New Roman"/>
                <w:kern w:val="2"/>
                <w:szCs w:val="21"/>
                <w:lang w:eastAsia="zh-CN"/>
              </w:rPr>
              <w:t>新城</w:t>
            </w:r>
            <w:r>
              <w:rPr>
                <w:rFonts w:hint="eastAsia" w:ascii="Times New Roman" w:hAnsi="Times New Roman"/>
                <w:kern w:val="2"/>
                <w:szCs w:val="21"/>
              </w:rPr>
              <w:t>润科工程咨询有限公司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jc w:val="center"/>
              <w:rPr>
                <w:szCs w:val="21"/>
              </w:rPr>
            </w:pPr>
            <w:r>
              <w:rPr>
                <w:szCs w:val="21"/>
              </w:rPr>
              <w:t>环保设施设计单位</w:t>
            </w:r>
          </w:p>
        </w:tc>
        <w:tc>
          <w:tcPr>
            <w:tcW w:w="1393" w:type="pct"/>
            <w:gridSpan w:val="3"/>
            <w:vAlign w:val="center"/>
          </w:tcPr>
          <w:p>
            <w:pPr>
              <w:jc w:val="center"/>
              <w:rPr>
                <w:szCs w:val="21"/>
              </w:rPr>
            </w:pPr>
            <w:r>
              <w:rPr>
                <w:rFonts w:hint="eastAsia"/>
                <w:szCs w:val="21"/>
              </w:rPr>
              <w:t>/</w:t>
            </w:r>
          </w:p>
        </w:tc>
        <w:tc>
          <w:tcPr>
            <w:tcW w:w="1008" w:type="pct"/>
            <w:gridSpan w:val="3"/>
            <w:vAlign w:val="center"/>
          </w:tcPr>
          <w:p>
            <w:pPr>
              <w:jc w:val="center"/>
              <w:rPr>
                <w:szCs w:val="21"/>
              </w:rPr>
            </w:pPr>
            <w:r>
              <w:rPr>
                <w:szCs w:val="21"/>
              </w:rPr>
              <w:t>环保设施施工单位</w:t>
            </w:r>
          </w:p>
        </w:tc>
        <w:tc>
          <w:tcPr>
            <w:tcW w:w="1609" w:type="pct"/>
            <w:gridSpan w:val="3"/>
            <w:vAlign w:val="center"/>
          </w:tcPr>
          <w:p>
            <w:pPr>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jc w:val="center"/>
              <w:rPr>
                <w:color w:val="000000"/>
                <w:szCs w:val="21"/>
              </w:rPr>
            </w:pPr>
            <w:r>
              <w:rPr>
                <w:color w:val="000000"/>
                <w:szCs w:val="21"/>
              </w:rPr>
              <w:t>投资总概算</w:t>
            </w:r>
          </w:p>
        </w:tc>
        <w:tc>
          <w:tcPr>
            <w:tcW w:w="860" w:type="pct"/>
            <w:vAlign w:val="center"/>
          </w:tcPr>
          <w:p>
            <w:pPr>
              <w:spacing w:before="20" w:after="20" w:line="0" w:lineRule="atLeast"/>
              <w:jc w:val="center"/>
              <w:rPr>
                <w:szCs w:val="21"/>
              </w:rPr>
            </w:pPr>
            <w:r>
              <w:rPr>
                <w:rFonts w:hint="eastAsia"/>
                <w:szCs w:val="21"/>
                <w:lang w:val="en-US" w:eastAsia="zh-CN"/>
              </w:rPr>
              <w:t>62513</w:t>
            </w:r>
            <w:r>
              <w:rPr>
                <w:rFonts w:hint="eastAsia"/>
                <w:szCs w:val="21"/>
              </w:rPr>
              <w:t>万元</w:t>
            </w:r>
          </w:p>
        </w:tc>
        <w:tc>
          <w:tcPr>
            <w:tcW w:w="950" w:type="pct"/>
            <w:gridSpan w:val="3"/>
            <w:vAlign w:val="center"/>
          </w:tcPr>
          <w:p>
            <w:pPr>
              <w:jc w:val="center"/>
              <w:rPr>
                <w:color w:val="000000"/>
                <w:szCs w:val="21"/>
              </w:rPr>
            </w:pPr>
            <w:r>
              <w:rPr>
                <w:color w:val="000000"/>
                <w:szCs w:val="21"/>
              </w:rPr>
              <w:t>环保投资总概算</w:t>
            </w:r>
          </w:p>
        </w:tc>
        <w:tc>
          <w:tcPr>
            <w:tcW w:w="590" w:type="pct"/>
            <w:gridSpan w:val="2"/>
            <w:vAlign w:val="center"/>
          </w:tcPr>
          <w:p>
            <w:pPr>
              <w:spacing w:before="20" w:after="20" w:line="0" w:lineRule="atLeast"/>
              <w:jc w:val="center"/>
              <w:rPr>
                <w:szCs w:val="21"/>
              </w:rPr>
            </w:pPr>
            <w:r>
              <w:rPr>
                <w:rFonts w:hint="eastAsia"/>
                <w:szCs w:val="21"/>
                <w:lang w:val="en-US" w:eastAsia="zh-CN"/>
              </w:rPr>
              <w:t>400</w:t>
            </w:r>
            <w:r>
              <w:rPr>
                <w:rFonts w:hint="eastAsia"/>
                <w:szCs w:val="21"/>
              </w:rPr>
              <w:t>万元</w:t>
            </w:r>
          </w:p>
        </w:tc>
        <w:tc>
          <w:tcPr>
            <w:tcW w:w="796" w:type="pct"/>
            <w:gridSpan w:val="2"/>
            <w:vAlign w:val="center"/>
          </w:tcPr>
          <w:p>
            <w:pPr>
              <w:jc w:val="center"/>
              <w:rPr>
                <w:color w:val="000000"/>
                <w:szCs w:val="21"/>
              </w:rPr>
            </w:pPr>
            <w:r>
              <w:rPr>
                <w:color w:val="000000"/>
                <w:szCs w:val="21"/>
              </w:rPr>
              <w:t>比例</w:t>
            </w:r>
          </w:p>
        </w:tc>
        <w:tc>
          <w:tcPr>
            <w:tcW w:w="812" w:type="pct"/>
            <w:vAlign w:val="center"/>
          </w:tcPr>
          <w:p>
            <w:pPr>
              <w:spacing w:before="20" w:after="20" w:line="0" w:lineRule="atLeast"/>
              <w:jc w:val="center"/>
              <w:rPr>
                <w:szCs w:val="21"/>
              </w:rPr>
            </w:pPr>
            <w:r>
              <w:rPr>
                <w:rFonts w:hint="eastAsia"/>
                <w:szCs w:val="21"/>
                <w:lang w:val="en-US" w:eastAsia="zh-CN"/>
              </w:rPr>
              <w:t>0.64</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jc w:val="center"/>
              <w:rPr>
                <w:color w:val="000000"/>
                <w:szCs w:val="21"/>
              </w:rPr>
            </w:pPr>
            <w:r>
              <w:rPr>
                <w:color w:val="000000"/>
                <w:szCs w:val="21"/>
              </w:rPr>
              <w:t>实际总投资</w:t>
            </w:r>
          </w:p>
        </w:tc>
        <w:tc>
          <w:tcPr>
            <w:tcW w:w="860" w:type="pct"/>
            <w:vAlign w:val="center"/>
          </w:tcPr>
          <w:p>
            <w:pPr>
              <w:jc w:val="center"/>
              <w:rPr>
                <w:szCs w:val="21"/>
              </w:rPr>
            </w:pPr>
            <w:r>
              <w:rPr>
                <w:rFonts w:hint="eastAsia"/>
                <w:szCs w:val="21"/>
                <w:lang w:val="en-US" w:eastAsia="zh-CN"/>
              </w:rPr>
              <w:t>62513</w:t>
            </w:r>
            <w:r>
              <w:rPr>
                <w:rFonts w:hint="eastAsia"/>
                <w:szCs w:val="21"/>
              </w:rPr>
              <w:t>万元</w:t>
            </w:r>
          </w:p>
        </w:tc>
        <w:tc>
          <w:tcPr>
            <w:tcW w:w="950" w:type="pct"/>
            <w:gridSpan w:val="3"/>
            <w:vAlign w:val="center"/>
          </w:tcPr>
          <w:p>
            <w:pPr>
              <w:jc w:val="center"/>
              <w:rPr>
                <w:szCs w:val="21"/>
              </w:rPr>
            </w:pPr>
            <w:r>
              <w:rPr>
                <w:szCs w:val="21"/>
              </w:rPr>
              <w:t>实际环保投资</w:t>
            </w:r>
          </w:p>
        </w:tc>
        <w:tc>
          <w:tcPr>
            <w:tcW w:w="590" w:type="pct"/>
            <w:gridSpan w:val="2"/>
            <w:vAlign w:val="center"/>
          </w:tcPr>
          <w:p>
            <w:pPr>
              <w:spacing w:before="20" w:after="20" w:line="0" w:lineRule="atLeast"/>
              <w:jc w:val="center"/>
              <w:rPr>
                <w:szCs w:val="21"/>
              </w:rPr>
            </w:pPr>
            <w:r>
              <w:rPr>
                <w:rFonts w:hint="eastAsia"/>
                <w:szCs w:val="21"/>
                <w:lang w:val="en-US" w:eastAsia="zh-CN"/>
              </w:rPr>
              <w:t>400</w:t>
            </w:r>
            <w:r>
              <w:rPr>
                <w:rFonts w:hint="eastAsia"/>
                <w:szCs w:val="21"/>
              </w:rPr>
              <w:t>万元</w:t>
            </w:r>
          </w:p>
        </w:tc>
        <w:tc>
          <w:tcPr>
            <w:tcW w:w="796" w:type="pct"/>
            <w:gridSpan w:val="2"/>
            <w:vAlign w:val="center"/>
          </w:tcPr>
          <w:p>
            <w:pPr>
              <w:jc w:val="center"/>
              <w:rPr>
                <w:szCs w:val="21"/>
              </w:rPr>
            </w:pPr>
            <w:r>
              <w:rPr>
                <w:szCs w:val="21"/>
              </w:rPr>
              <w:t>比例</w:t>
            </w:r>
          </w:p>
        </w:tc>
        <w:tc>
          <w:tcPr>
            <w:tcW w:w="812" w:type="pct"/>
            <w:vAlign w:val="center"/>
          </w:tcPr>
          <w:p>
            <w:pPr>
              <w:spacing w:before="20" w:after="20" w:line="0" w:lineRule="atLeast"/>
              <w:jc w:val="center"/>
              <w:rPr>
                <w:szCs w:val="21"/>
              </w:rPr>
            </w:pPr>
            <w:r>
              <w:rPr>
                <w:rFonts w:hint="eastAsia"/>
                <w:szCs w:val="21"/>
                <w:lang w:val="en-US" w:eastAsia="zh-CN"/>
              </w:rPr>
              <w:t>0.64</w:t>
            </w: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989" w:type="pct"/>
            <w:vAlign w:val="center"/>
          </w:tcPr>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r>
              <w:rPr>
                <w:rFonts w:hint="eastAsia"/>
                <w:szCs w:val="21"/>
              </w:rPr>
              <w:t>项目建设过程简述（ 项目立项-试运行）</w:t>
            </w: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p>
            <w:pPr>
              <w:spacing w:beforeLines="20" w:afterLines="20" w:line="0" w:lineRule="atLeast"/>
              <w:rPr>
                <w:szCs w:val="21"/>
              </w:rPr>
            </w:pPr>
          </w:p>
        </w:tc>
        <w:tc>
          <w:tcPr>
            <w:tcW w:w="4010" w:type="pct"/>
            <w:gridSpan w:val="9"/>
          </w:tcPr>
          <w:p/>
          <w:p>
            <w:pPr>
              <w:keepNext w:val="0"/>
              <w:keepLines w:val="0"/>
              <w:pageBreakBefore w:val="0"/>
              <w:kinsoku/>
              <w:wordWrap/>
              <w:overflowPunct/>
              <w:topLinePunct w:val="0"/>
              <w:autoSpaceDE/>
              <w:autoSpaceDN/>
              <w:bidi w:val="0"/>
              <w:adjustRightInd/>
              <w:snapToGrid/>
              <w:spacing w:before="207" w:line="360" w:lineRule="auto"/>
              <w:ind w:left="118" w:right="102" w:firstLine="409"/>
              <w:textAlignment w:val="auto"/>
              <w:rPr>
                <w:rFonts w:hint="eastAsia"/>
                <w:sz w:val="24"/>
                <w:szCs w:val="24"/>
                <w:lang w:eastAsia="zh-CN"/>
              </w:rPr>
            </w:pPr>
            <w:r>
              <w:rPr>
                <w:rFonts w:hint="eastAsia"/>
                <w:sz w:val="24"/>
                <w:szCs w:val="24"/>
                <w:lang w:eastAsia="zh-CN"/>
              </w:rPr>
              <w:t>《</w:t>
            </w:r>
            <w:r>
              <w:rPr>
                <w:rFonts w:hint="eastAsia"/>
                <w:sz w:val="24"/>
                <w:szCs w:val="24"/>
                <w:lang w:val="en-US" w:eastAsia="zh-CN"/>
              </w:rPr>
              <w:t>市发展改革委关于华润新能源（邳州）有限公司邳州市车辐山戴庄风电项目核准的批复</w:t>
            </w:r>
            <w:r>
              <w:rPr>
                <w:rFonts w:hint="eastAsia"/>
                <w:sz w:val="24"/>
                <w:szCs w:val="24"/>
                <w:lang w:eastAsia="zh-CN"/>
              </w:rPr>
              <w:t>》（</w:t>
            </w:r>
            <w:r>
              <w:rPr>
                <w:rFonts w:hint="eastAsia"/>
                <w:sz w:val="24"/>
                <w:szCs w:val="24"/>
                <w:lang w:val="en-US" w:eastAsia="zh-CN"/>
              </w:rPr>
              <w:t>徐发改核发【2018】37号</w:t>
            </w:r>
            <w:r>
              <w:rPr>
                <w:rFonts w:hint="eastAsia"/>
                <w:sz w:val="24"/>
                <w:szCs w:val="24"/>
                <w:lang w:eastAsia="zh-CN"/>
              </w:rPr>
              <w:t>）</w:t>
            </w:r>
          </w:p>
          <w:p>
            <w:pPr>
              <w:pStyle w:val="32"/>
              <w:rPr>
                <w:sz w:val="24"/>
                <w:szCs w:val="24"/>
              </w:rPr>
            </w:pPr>
            <w:r>
              <w:rPr>
                <w:sz w:val="24"/>
                <w:szCs w:val="24"/>
              </w:rPr>
              <w:t>《关于华润电力邳州市车辐山戴庄风电场工程项目用地初审意见》（邳国土资初[2018]07号）</w:t>
            </w:r>
          </w:p>
          <w:p>
            <w:pPr>
              <w:pStyle w:val="32"/>
              <w:rPr>
                <w:rFonts w:hint="eastAsia"/>
                <w:sz w:val="24"/>
                <w:szCs w:val="24"/>
              </w:rPr>
            </w:pPr>
            <w:r>
              <w:rPr>
                <w:sz w:val="24"/>
                <w:szCs w:val="24"/>
              </w:rPr>
              <w:t>《关于华润新能源（邳州）有限公司华润电力邳州市车辐山戴庄风电场工程项目用地的预审意见》（徐国土资预[2018]47号）</w:t>
            </w:r>
          </w:p>
          <w:p>
            <w:pPr>
              <w:keepNext w:val="0"/>
              <w:keepLines w:val="0"/>
              <w:pageBreakBefore w:val="0"/>
              <w:kinsoku/>
              <w:wordWrap/>
              <w:overflowPunct/>
              <w:topLinePunct w:val="0"/>
              <w:autoSpaceDE/>
              <w:autoSpaceDN/>
              <w:bidi w:val="0"/>
              <w:adjustRightInd/>
              <w:snapToGrid/>
              <w:spacing w:line="360" w:lineRule="auto"/>
              <w:ind w:left="113" w:right="45" w:firstLine="414"/>
              <w:textAlignment w:val="auto"/>
              <w:rPr>
                <w:sz w:val="24"/>
                <w:szCs w:val="24"/>
              </w:rPr>
            </w:pPr>
            <w:r>
              <w:rPr>
                <w:rFonts w:hint="eastAsia"/>
                <w:sz w:val="24"/>
                <w:szCs w:val="24"/>
              </w:rPr>
              <w:t>20</w:t>
            </w:r>
            <w:r>
              <w:rPr>
                <w:rFonts w:hint="eastAsia"/>
                <w:sz w:val="24"/>
                <w:szCs w:val="24"/>
                <w:lang w:val="en-US" w:eastAsia="zh-CN"/>
              </w:rPr>
              <w:t>19</w:t>
            </w:r>
            <w:r>
              <w:rPr>
                <w:sz w:val="24"/>
                <w:szCs w:val="24"/>
              </w:rPr>
              <w:t>年</w:t>
            </w:r>
            <w:r>
              <w:rPr>
                <w:rFonts w:hint="eastAsia"/>
                <w:sz w:val="24"/>
                <w:szCs w:val="24"/>
                <w:lang w:val="en-US" w:eastAsia="zh-CN"/>
              </w:rPr>
              <w:t>9</w:t>
            </w:r>
            <w:r>
              <w:rPr>
                <w:sz w:val="24"/>
                <w:szCs w:val="24"/>
              </w:rPr>
              <w:t>月</w:t>
            </w:r>
            <w:r>
              <w:rPr>
                <w:rFonts w:hint="eastAsia"/>
                <w:sz w:val="24"/>
                <w:szCs w:val="24"/>
                <w:lang w:val="en-US" w:eastAsia="zh-CN"/>
              </w:rPr>
              <w:t>30</w:t>
            </w:r>
            <w:r>
              <w:rPr>
                <w:rFonts w:hint="eastAsia"/>
                <w:sz w:val="24"/>
                <w:szCs w:val="24"/>
              </w:rPr>
              <w:t>日</w:t>
            </w:r>
            <w:r>
              <w:rPr>
                <w:rFonts w:hint="eastAsia"/>
                <w:sz w:val="24"/>
                <w:szCs w:val="24"/>
                <w:lang w:val="en-US" w:eastAsia="zh-CN"/>
              </w:rPr>
              <w:t>邳州市</w:t>
            </w:r>
            <w:r>
              <w:rPr>
                <w:rFonts w:hint="eastAsia"/>
                <w:sz w:val="24"/>
                <w:szCs w:val="24"/>
              </w:rPr>
              <w:t>生态环境局对主体工程环评</w:t>
            </w:r>
            <w:r>
              <w:rPr>
                <w:sz w:val="24"/>
                <w:szCs w:val="24"/>
              </w:rPr>
              <w:t>报告表进行了审批</w:t>
            </w:r>
            <w:r>
              <w:rPr>
                <w:rFonts w:hint="eastAsia"/>
                <w:sz w:val="24"/>
                <w:szCs w:val="24"/>
              </w:rPr>
              <w:t>，</w:t>
            </w:r>
            <w:r>
              <w:rPr>
                <w:sz w:val="24"/>
                <w:szCs w:val="24"/>
              </w:rPr>
              <w:t>《</w:t>
            </w:r>
            <w:r>
              <w:rPr>
                <w:rFonts w:hint="eastAsia"/>
                <w:sz w:val="24"/>
                <w:szCs w:val="24"/>
                <w:lang w:eastAsia="zh-CN"/>
              </w:rPr>
              <w:t>邳州市车辐山戴庄风电场项目</w:t>
            </w:r>
            <w:r>
              <w:rPr>
                <w:rFonts w:hint="eastAsia"/>
                <w:sz w:val="24"/>
                <w:szCs w:val="24"/>
              </w:rPr>
              <w:t>环境报告表</w:t>
            </w:r>
            <w:r>
              <w:rPr>
                <w:sz w:val="24"/>
                <w:szCs w:val="24"/>
              </w:rPr>
              <w:t>》（</w:t>
            </w:r>
            <w:r>
              <w:rPr>
                <w:rFonts w:hint="eastAsia"/>
                <w:sz w:val="24"/>
                <w:szCs w:val="24"/>
                <w:lang w:val="en-US" w:eastAsia="zh-CN"/>
              </w:rPr>
              <w:t>邳州市环境保护局</w:t>
            </w:r>
            <w:r>
              <w:rPr>
                <w:sz w:val="24"/>
                <w:szCs w:val="24"/>
              </w:rPr>
              <w:t>，</w:t>
            </w:r>
            <w:r>
              <w:rPr>
                <w:rFonts w:hint="eastAsia"/>
                <w:sz w:val="24"/>
                <w:szCs w:val="24"/>
                <w:lang w:val="en-US" w:eastAsia="zh-CN"/>
              </w:rPr>
              <w:t>邳环项表</w:t>
            </w:r>
            <w:r>
              <w:rPr>
                <w:sz w:val="24"/>
                <w:szCs w:val="24"/>
              </w:rPr>
              <w:t>[20</w:t>
            </w:r>
            <w:r>
              <w:rPr>
                <w:rFonts w:hint="eastAsia"/>
                <w:sz w:val="24"/>
                <w:szCs w:val="24"/>
                <w:lang w:val="en-US" w:eastAsia="zh-CN"/>
              </w:rPr>
              <w:t>19</w:t>
            </w:r>
            <w:r>
              <w:rPr>
                <w:sz w:val="24"/>
                <w:szCs w:val="24"/>
              </w:rPr>
              <w:t>]</w:t>
            </w:r>
            <w:r>
              <w:rPr>
                <w:rFonts w:hint="eastAsia"/>
                <w:sz w:val="24"/>
                <w:szCs w:val="24"/>
                <w:lang w:val="en-US" w:eastAsia="zh-CN"/>
              </w:rPr>
              <w:t>109</w:t>
            </w:r>
            <w:r>
              <w:rPr>
                <w:sz w:val="24"/>
                <w:szCs w:val="24"/>
              </w:rPr>
              <w:t>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20</w:t>
            </w:r>
            <w:r>
              <w:rPr>
                <w:rFonts w:hint="eastAsia"/>
                <w:sz w:val="24"/>
                <w:szCs w:val="24"/>
              </w:rPr>
              <w:t>2</w:t>
            </w:r>
            <w:r>
              <w:rPr>
                <w:rFonts w:hint="eastAsia"/>
                <w:sz w:val="24"/>
                <w:szCs w:val="24"/>
                <w:lang w:val="en-US" w:eastAsia="zh-CN"/>
              </w:rPr>
              <w:t>2</w:t>
            </w:r>
            <w:r>
              <w:rPr>
                <w:sz w:val="24"/>
                <w:szCs w:val="24"/>
              </w:rPr>
              <w:t>年</w:t>
            </w:r>
            <w:r>
              <w:rPr>
                <w:rFonts w:hint="eastAsia"/>
                <w:sz w:val="24"/>
                <w:szCs w:val="24"/>
                <w:lang w:val="en-US" w:eastAsia="zh-CN"/>
              </w:rPr>
              <w:t>4</w:t>
            </w:r>
            <w:r>
              <w:rPr>
                <w:sz w:val="24"/>
                <w:szCs w:val="24"/>
              </w:rPr>
              <w:t>月，</w:t>
            </w:r>
            <w:r>
              <w:rPr>
                <w:rFonts w:hint="eastAsia"/>
                <w:sz w:val="24"/>
                <w:szCs w:val="24"/>
              </w:rPr>
              <w:t>华润新能源（</w:t>
            </w:r>
            <w:r>
              <w:rPr>
                <w:rFonts w:hint="eastAsia"/>
                <w:sz w:val="24"/>
                <w:szCs w:val="24"/>
                <w:lang w:eastAsia="zh-CN"/>
              </w:rPr>
              <w:t>邳州</w:t>
            </w:r>
            <w:r>
              <w:rPr>
                <w:rFonts w:hint="eastAsia"/>
                <w:sz w:val="24"/>
                <w:szCs w:val="24"/>
              </w:rPr>
              <w:t xml:space="preserve"> ）有限公司对</w:t>
            </w:r>
            <w:r>
              <w:rPr>
                <w:sz w:val="24"/>
                <w:szCs w:val="24"/>
              </w:rPr>
              <w:t>该项目实施竣工环境保护验收调查工作。</w:t>
            </w:r>
          </w:p>
          <w:p/>
          <w:p/>
          <w:p/>
          <w:p/>
          <w:p/>
          <w:p/>
          <w:p>
            <w:pPr>
              <w:pStyle w:val="32"/>
            </w:pPr>
          </w:p>
          <w:p/>
          <w:p>
            <w:pPr>
              <w:pStyle w:val="32"/>
            </w:pPr>
          </w:p>
          <w:p>
            <w:pPr>
              <w:pStyle w:val="32"/>
              <w:ind w:left="0" w:leftChars="0" w:firstLine="0" w:firstLineChars="0"/>
            </w:pPr>
          </w:p>
        </w:tc>
      </w:tr>
    </w:tbl>
    <w:p>
      <w:pPr>
        <w:spacing w:line="360" w:lineRule="auto"/>
        <w:outlineLvl w:val="0"/>
        <w:rPr>
          <w:rFonts w:asciiTheme="majorEastAsia" w:hAnsiTheme="majorEastAsia" w:eastAsiaTheme="majorEastAsia" w:cstheme="majorEastAsia"/>
          <w:b/>
          <w:bCs/>
          <w:sz w:val="28"/>
          <w:szCs w:val="28"/>
        </w:rPr>
      </w:pPr>
      <w:bookmarkStart w:id="1" w:name="_Toc7967"/>
      <w:bookmarkStart w:id="2" w:name="_Toc28090"/>
      <w:bookmarkStart w:id="3" w:name="_Toc292707424"/>
      <w:bookmarkStart w:id="4" w:name="_Toc295831041"/>
      <w:r>
        <w:rPr>
          <w:rFonts w:hint="eastAsia" w:asciiTheme="majorEastAsia" w:hAnsiTheme="majorEastAsia" w:eastAsiaTheme="majorEastAsia" w:cstheme="majorEastAsia"/>
          <w:b/>
          <w:bCs/>
          <w:spacing w:val="-3"/>
          <w:sz w:val="28"/>
          <w:szCs w:val="28"/>
        </w:rPr>
        <w:t>表二</w:t>
      </w:r>
      <w:r>
        <w:rPr>
          <w:rFonts w:hint="eastAsia" w:asciiTheme="majorEastAsia" w:hAnsiTheme="majorEastAsia" w:eastAsiaTheme="majorEastAsia" w:cstheme="majorEastAsia"/>
          <w:b/>
          <w:bCs/>
          <w:spacing w:val="-3"/>
          <w:sz w:val="28"/>
          <w:szCs w:val="28"/>
          <w:lang w:val="en-US" w:eastAsia="zh-CN"/>
        </w:rPr>
        <w:t xml:space="preserve"> </w:t>
      </w:r>
      <w:r>
        <w:rPr>
          <w:rFonts w:hint="eastAsia" w:asciiTheme="majorEastAsia" w:hAnsiTheme="majorEastAsia" w:eastAsiaTheme="majorEastAsia" w:cstheme="majorEastAsia"/>
          <w:b/>
          <w:bCs/>
          <w:spacing w:val="-3"/>
          <w:sz w:val="28"/>
          <w:szCs w:val="28"/>
        </w:rPr>
        <w:t>调查范围、因子、目标、重点</w:t>
      </w:r>
      <w:bookmarkEnd w:id="1"/>
      <w:bookmarkEnd w:id="2"/>
    </w:p>
    <w:tbl>
      <w:tblPr>
        <w:tblStyle w:val="120"/>
        <w:tblW w:w="5003"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8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2" w:hRule="atLeast"/>
        </w:trPr>
        <w:tc>
          <w:tcPr>
            <w:tcW w:w="889" w:type="dxa"/>
            <w:tcBorders>
              <w:top w:val="single" w:color="000000" w:sz="2" w:space="0"/>
              <w:left w:val="single" w:color="000000" w:sz="2" w:space="0"/>
              <w:bottom w:val="single" w:color="000000" w:sz="2" w:space="0"/>
              <w:right w:val="single" w:color="000000" w:sz="2" w:space="0"/>
            </w:tcBorders>
            <w:vAlign w:val="center"/>
          </w:tcPr>
          <w:p>
            <w:pPr>
              <w:spacing w:line="250" w:lineRule="auto"/>
              <w:jc w:val="center"/>
              <w:rPr>
                <w:rFonts w:ascii="黑体"/>
                <w:sz w:val="24"/>
                <w:szCs w:val="24"/>
              </w:rPr>
            </w:pPr>
          </w:p>
          <w:p>
            <w:pPr>
              <w:spacing w:line="250" w:lineRule="auto"/>
              <w:jc w:val="center"/>
              <w:rPr>
                <w:rFonts w:ascii="黑体"/>
                <w:sz w:val="24"/>
                <w:szCs w:val="24"/>
              </w:rPr>
            </w:pPr>
          </w:p>
          <w:p>
            <w:pPr>
              <w:spacing w:line="251" w:lineRule="auto"/>
              <w:jc w:val="center"/>
              <w:rPr>
                <w:rFonts w:ascii="黑体"/>
                <w:sz w:val="24"/>
                <w:szCs w:val="24"/>
              </w:rPr>
            </w:pPr>
          </w:p>
          <w:p>
            <w:pPr>
              <w:spacing w:before="68" w:line="314" w:lineRule="auto"/>
              <w:ind w:left="120" w:right="104" w:hanging="3"/>
              <w:jc w:val="center"/>
              <w:rPr>
                <w:rFonts w:ascii="宋体" w:hAnsi="宋体" w:cs="宋体"/>
                <w:sz w:val="24"/>
                <w:szCs w:val="24"/>
              </w:rPr>
            </w:pPr>
            <w:r>
              <w:rPr>
                <w:rFonts w:ascii="宋体" w:hAnsi="宋体" w:cs="宋体"/>
                <w:spacing w:val="-4"/>
                <w:sz w:val="24"/>
                <w:szCs w:val="24"/>
              </w:rPr>
              <w:t>调查</w:t>
            </w:r>
            <w:r>
              <w:rPr>
                <w:rFonts w:ascii="宋体" w:hAnsi="宋体" w:cs="宋体"/>
                <w:spacing w:val="-6"/>
                <w:sz w:val="24"/>
                <w:szCs w:val="24"/>
              </w:rPr>
              <w:t>范围</w:t>
            </w:r>
          </w:p>
        </w:tc>
        <w:tc>
          <w:tcPr>
            <w:tcW w:w="8755" w:type="dxa"/>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sz w:val="24"/>
                <w:szCs w:val="24"/>
              </w:rPr>
              <w:t>根据本工程环评报告表中的评价范围</w:t>
            </w:r>
            <w:r>
              <w:rPr>
                <w:rFonts w:hint="eastAsia"/>
                <w:sz w:val="24"/>
                <w:szCs w:val="24"/>
              </w:rPr>
              <w:t>，</w:t>
            </w:r>
            <w:r>
              <w:rPr>
                <w:sz w:val="24"/>
                <w:szCs w:val="24"/>
              </w:rPr>
              <w:t>确定验收调查范围如下：</w:t>
            </w:r>
          </w:p>
          <w:p>
            <w:pPr>
              <w:keepNext w:val="0"/>
              <w:keepLines w:val="0"/>
              <w:pageBreakBefore w:val="0"/>
              <w:widowControl w:val="0"/>
              <w:kinsoku/>
              <w:wordWrap/>
              <w:overflowPunct/>
              <w:topLinePunct w:val="0"/>
              <w:autoSpaceDE/>
              <w:autoSpaceDN/>
              <w:bidi w:val="0"/>
              <w:adjustRightInd/>
              <w:snapToGrid/>
              <w:spacing w:line="360" w:lineRule="auto"/>
              <w:ind w:firstLine="288" w:firstLineChars="0"/>
              <w:textAlignment w:val="auto"/>
              <w:rPr>
                <w:sz w:val="24"/>
                <w:szCs w:val="24"/>
              </w:rPr>
            </w:pPr>
            <w:r>
              <w:rPr>
                <w:sz w:val="24"/>
                <w:szCs w:val="24"/>
              </w:rPr>
              <w:t>1、 生态环境影响：</w:t>
            </w:r>
            <w:r>
              <w:rPr>
                <w:rFonts w:hint="eastAsia"/>
                <w:sz w:val="24"/>
                <w:szCs w:val="24"/>
              </w:rPr>
              <w:t>周边植被恢复</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288" w:firstLineChars="0"/>
              <w:textAlignment w:val="auto"/>
              <w:rPr>
                <w:sz w:val="24"/>
                <w:szCs w:val="24"/>
              </w:rPr>
            </w:pPr>
            <w:r>
              <w:rPr>
                <w:sz w:val="24"/>
                <w:szCs w:val="24"/>
              </w:rPr>
              <w:t>2 、 声环境影响：</w:t>
            </w:r>
            <w:r>
              <w:rPr>
                <w:rFonts w:hint="eastAsia"/>
                <w:sz w:val="24"/>
                <w:szCs w:val="24"/>
              </w:rPr>
              <w:t>风电场</w:t>
            </w:r>
            <w:r>
              <w:rPr>
                <w:sz w:val="24"/>
                <w:szCs w:val="24"/>
              </w:rPr>
              <w:t>范围内的区域；</w:t>
            </w:r>
          </w:p>
          <w:p>
            <w:pPr>
              <w:keepNext w:val="0"/>
              <w:keepLines w:val="0"/>
              <w:pageBreakBefore w:val="0"/>
              <w:widowControl w:val="0"/>
              <w:kinsoku/>
              <w:wordWrap/>
              <w:overflowPunct/>
              <w:topLinePunct w:val="0"/>
              <w:autoSpaceDE/>
              <w:autoSpaceDN/>
              <w:bidi w:val="0"/>
              <w:adjustRightInd/>
              <w:snapToGrid/>
              <w:spacing w:line="360" w:lineRule="auto"/>
              <w:ind w:firstLine="288" w:firstLineChars="0"/>
              <w:textAlignment w:val="auto"/>
              <w:rPr>
                <w:rFonts w:hint="default" w:eastAsia="宋体"/>
                <w:color w:val="FF0000"/>
                <w:sz w:val="24"/>
                <w:szCs w:val="24"/>
                <w:lang w:val="en-US" w:eastAsia="zh-CN"/>
              </w:rPr>
            </w:pPr>
            <w:r>
              <w:rPr>
                <w:sz w:val="24"/>
                <w:szCs w:val="24"/>
              </w:rPr>
              <w:t>3 、 水环境影响：项目</w:t>
            </w:r>
            <w:r>
              <w:rPr>
                <w:rFonts w:hint="eastAsia"/>
                <w:sz w:val="24"/>
                <w:szCs w:val="24"/>
                <w:lang w:val="en-US" w:eastAsia="zh-CN"/>
              </w:rPr>
              <w:t>职工产生的生活用水和食</w:t>
            </w:r>
            <w:r>
              <w:rPr>
                <w:rFonts w:hint="eastAsia"/>
                <w:color w:val="auto"/>
                <w:sz w:val="24"/>
                <w:szCs w:val="24"/>
                <w:lang w:val="en-US" w:eastAsia="zh-CN"/>
              </w:rPr>
              <w:t>堂用水；</w:t>
            </w:r>
          </w:p>
          <w:p>
            <w:pPr>
              <w:keepNext w:val="0"/>
              <w:keepLines w:val="0"/>
              <w:pageBreakBefore w:val="0"/>
              <w:widowControl w:val="0"/>
              <w:kinsoku/>
              <w:wordWrap/>
              <w:overflowPunct/>
              <w:topLinePunct w:val="0"/>
              <w:autoSpaceDE/>
              <w:autoSpaceDN/>
              <w:bidi w:val="0"/>
              <w:adjustRightInd/>
              <w:snapToGrid/>
              <w:spacing w:line="360" w:lineRule="auto"/>
              <w:ind w:firstLine="288" w:firstLineChars="0"/>
              <w:textAlignment w:val="auto"/>
              <w:rPr>
                <w:rFonts w:hint="default" w:eastAsia="宋体"/>
                <w:sz w:val="24"/>
                <w:szCs w:val="24"/>
                <w:lang w:val="en-US" w:eastAsia="zh-CN"/>
              </w:rPr>
            </w:pPr>
            <w:r>
              <w:rPr>
                <w:sz w:val="24"/>
                <w:szCs w:val="24"/>
              </w:rPr>
              <w:t>4 、</w:t>
            </w:r>
            <w:r>
              <w:rPr>
                <w:rFonts w:hint="eastAsia"/>
                <w:sz w:val="24"/>
                <w:szCs w:val="24"/>
                <w:lang w:val="en-US" w:eastAsia="zh-CN"/>
              </w:rPr>
              <w:t>大气环境：食堂油烟废气</w:t>
            </w:r>
          </w:p>
          <w:p>
            <w:pPr>
              <w:pStyle w:val="32"/>
              <w:keepNext w:val="0"/>
              <w:keepLines w:val="0"/>
              <w:pageBreakBefore w:val="0"/>
              <w:widowControl w:val="0"/>
              <w:kinsoku/>
              <w:wordWrap/>
              <w:overflowPunct/>
              <w:topLinePunct w:val="0"/>
              <w:autoSpaceDE/>
              <w:autoSpaceDN/>
              <w:bidi w:val="0"/>
              <w:adjustRightInd/>
              <w:snapToGrid/>
              <w:spacing w:line="360" w:lineRule="auto"/>
              <w:ind w:left="0" w:leftChars="0" w:firstLine="288" w:firstLineChars="0"/>
              <w:textAlignment w:val="auto"/>
              <w:rPr>
                <w:rFonts w:hint="eastAsia" w:eastAsia="宋体"/>
                <w:sz w:val="24"/>
                <w:szCs w:val="24"/>
                <w:lang w:val="en-US" w:eastAsia="zh-CN"/>
              </w:rPr>
            </w:pPr>
            <w:r>
              <w:rPr>
                <w:rFonts w:hint="eastAsia" w:ascii="宋体" w:hAnsi="宋体" w:cs="宋体"/>
                <w:spacing w:val="-1"/>
                <w:sz w:val="24"/>
                <w:szCs w:val="24"/>
                <w:lang w:val="en-US" w:eastAsia="zh-CN"/>
              </w:rPr>
              <w:t>5、</w:t>
            </w:r>
            <w:r>
              <w:rPr>
                <w:sz w:val="24"/>
                <w:szCs w:val="24"/>
              </w:rPr>
              <w:t xml:space="preserve"> 公众意见： 项目附近的公众；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7" w:hRule="atLeast"/>
        </w:trPr>
        <w:tc>
          <w:tcPr>
            <w:tcW w:w="889" w:type="dxa"/>
            <w:tcBorders>
              <w:top w:val="single" w:color="000000" w:sz="2" w:space="0"/>
              <w:left w:val="single" w:color="000000" w:sz="2" w:space="0"/>
              <w:bottom w:val="single" w:color="000000" w:sz="2" w:space="0"/>
              <w:right w:val="single" w:color="000000" w:sz="2" w:space="0"/>
            </w:tcBorders>
            <w:vAlign w:val="center"/>
          </w:tcPr>
          <w:p>
            <w:pPr>
              <w:spacing w:line="248" w:lineRule="auto"/>
              <w:jc w:val="center"/>
              <w:rPr>
                <w:rFonts w:ascii="黑体"/>
                <w:sz w:val="24"/>
                <w:szCs w:val="24"/>
              </w:rPr>
            </w:pPr>
          </w:p>
          <w:p>
            <w:pPr>
              <w:spacing w:line="248" w:lineRule="auto"/>
              <w:jc w:val="center"/>
              <w:rPr>
                <w:rFonts w:ascii="黑体"/>
                <w:sz w:val="24"/>
                <w:szCs w:val="24"/>
              </w:rPr>
            </w:pPr>
          </w:p>
          <w:p>
            <w:pPr>
              <w:spacing w:line="249" w:lineRule="auto"/>
              <w:jc w:val="center"/>
              <w:rPr>
                <w:rFonts w:ascii="黑体"/>
                <w:sz w:val="24"/>
                <w:szCs w:val="24"/>
              </w:rPr>
            </w:pPr>
          </w:p>
          <w:p>
            <w:pPr>
              <w:spacing w:before="68" w:line="314" w:lineRule="auto"/>
              <w:ind w:left="131" w:right="104" w:hanging="14"/>
              <w:jc w:val="center"/>
              <w:rPr>
                <w:rFonts w:ascii="宋体" w:hAnsi="宋体" w:cs="宋体"/>
                <w:sz w:val="24"/>
                <w:szCs w:val="24"/>
              </w:rPr>
            </w:pPr>
            <w:r>
              <w:rPr>
                <w:rFonts w:ascii="宋体" w:hAnsi="宋体" w:cs="宋体"/>
                <w:spacing w:val="-4"/>
                <w:sz w:val="24"/>
                <w:szCs w:val="24"/>
              </w:rPr>
              <w:t>调查</w:t>
            </w:r>
            <w:r>
              <w:rPr>
                <w:rFonts w:ascii="宋体" w:hAnsi="宋体" w:cs="宋体"/>
                <w:spacing w:val="-12"/>
                <w:sz w:val="24"/>
                <w:szCs w:val="24"/>
              </w:rPr>
              <w:t>因子</w:t>
            </w:r>
          </w:p>
        </w:tc>
        <w:tc>
          <w:tcPr>
            <w:tcW w:w="8755" w:type="dxa"/>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line="360" w:lineRule="auto"/>
              <w:ind w:firstLine="113"/>
              <w:textAlignment w:val="auto"/>
              <w:rPr>
                <w:rFonts w:ascii="宋体" w:hAnsi="宋体" w:cs="宋体"/>
                <w:spacing w:val="-1"/>
                <w:sz w:val="24"/>
                <w:szCs w:val="24"/>
              </w:rPr>
            </w:pPr>
            <w:r>
              <w:rPr>
                <w:rFonts w:ascii="宋体" w:hAnsi="宋体" w:cs="宋体"/>
                <w:spacing w:val="-1"/>
                <w:sz w:val="24"/>
                <w:szCs w:val="24"/>
              </w:rPr>
              <w:t>1、生态环境：调查施工中植被遭到破坏和进行恢复的情况，以及工程占地类型和实际占地情况，临时占地的恢复情况；</w:t>
            </w:r>
          </w:p>
          <w:p>
            <w:pPr>
              <w:pStyle w:val="32"/>
              <w:keepNext w:val="0"/>
              <w:keepLines w:val="0"/>
              <w:pageBreakBefore w:val="0"/>
              <w:widowControl w:val="0"/>
              <w:kinsoku/>
              <w:wordWrap/>
              <w:overflowPunct/>
              <w:topLinePunct w:val="0"/>
              <w:autoSpaceDE/>
              <w:autoSpaceDN/>
              <w:bidi w:val="0"/>
              <w:adjustRightInd/>
              <w:snapToGrid/>
              <w:ind w:left="0" w:leftChars="0" w:firstLine="113" w:firstLineChars="0"/>
              <w:textAlignment w:val="auto"/>
              <w:rPr>
                <w:rFonts w:hint="default" w:eastAsia="宋体"/>
                <w:sz w:val="24"/>
                <w:szCs w:val="24"/>
                <w:lang w:val="en-US" w:eastAsia="zh-CN"/>
              </w:rPr>
            </w:pPr>
            <w:r>
              <w:rPr>
                <w:rFonts w:hint="eastAsia" w:ascii="宋体" w:hAnsi="宋体" w:cs="宋体"/>
                <w:spacing w:val="-1"/>
                <w:sz w:val="24"/>
                <w:szCs w:val="24"/>
                <w:lang w:val="en-US" w:eastAsia="zh-CN"/>
              </w:rPr>
              <w:t>2、大气环境：食堂油烟；</w:t>
            </w:r>
          </w:p>
          <w:p>
            <w:pPr>
              <w:keepNext w:val="0"/>
              <w:keepLines w:val="0"/>
              <w:pageBreakBefore w:val="0"/>
              <w:widowControl w:val="0"/>
              <w:kinsoku/>
              <w:wordWrap/>
              <w:overflowPunct/>
              <w:topLinePunct w:val="0"/>
              <w:autoSpaceDE/>
              <w:autoSpaceDN/>
              <w:bidi w:val="0"/>
              <w:adjustRightInd/>
              <w:snapToGrid/>
              <w:spacing w:line="360" w:lineRule="auto"/>
              <w:ind w:firstLine="113"/>
              <w:textAlignment w:val="auto"/>
              <w:rPr>
                <w:rFonts w:ascii="宋体" w:hAnsi="宋体" w:cs="宋体"/>
                <w:spacing w:val="-1"/>
                <w:sz w:val="24"/>
                <w:szCs w:val="24"/>
              </w:rPr>
            </w:pPr>
            <w:r>
              <w:rPr>
                <w:rFonts w:hint="eastAsia" w:ascii="宋体" w:hAnsi="宋体" w:cs="宋体"/>
                <w:spacing w:val="-1"/>
                <w:sz w:val="24"/>
                <w:szCs w:val="24"/>
                <w:lang w:val="en-US" w:eastAsia="zh-CN"/>
              </w:rPr>
              <w:t>3</w:t>
            </w:r>
            <w:r>
              <w:rPr>
                <w:rFonts w:ascii="宋体" w:hAnsi="宋体" w:cs="宋体"/>
                <w:spacing w:val="-1"/>
                <w:sz w:val="24"/>
                <w:szCs w:val="24"/>
              </w:rPr>
              <w:t xml:space="preserve"> 、声环境：</w:t>
            </w:r>
            <w:r>
              <w:rPr>
                <w:rFonts w:hint="eastAsia" w:ascii="宋体" w:hAnsi="宋体" w:cs="宋体"/>
                <w:spacing w:val="-1"/>
                <w:sz w:val="24"/>
                <w:szCs w:val="24"/>
              </w:rPr>
              <w:t>风电场噪声</w:t>
            </w:r>
            <w:r>
              <w:rPr>
                <w:rFonts w:ascii="宋体" w:hAnsi="宋体" w:cs="宋体"/>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13"/>
              <w:textAlignment w:val="auto"/>
              <w:rPr>
                <w:rFonts w:ascii="宋体" w:hAnsi="宋体" w:cs="宋体"/>
                <w:spacing w:val="-1"/>
                <w:sz w:val="24"/>
                <w:szCs w:val="24"/>
              </w:rPr>
            </w:pPr>
            <w:r>
              <w:rPr>
                <w:rFonts w:hint="eastAsia" w:ascii="宋体" w:hAnsi="宋体" w:cs="宋体"/>
                <w:spacing w:val="-1"/>
                <w:sz w:val="24"/>
                <w:szCs w:val="24"/>
                <w:lang w:val="en-US" w:eastAsia="zh-CN"/>
              </w:rPr>
              <w:t>4</w:t>
            </w:r>
            <w:r>
              <w:rPr>
                <w:rFonts w:ascii="宋体" w:hAnsi="宋体" w:cs="宋体"/>
                <w:spacing w:val="-1"/>
                <w:sz w:val="24"/>
                <w:szCs w:val="24"/>
              </w:rPr>
              <w:t>、水环境：废水处理设施运行情况，废水排放量及排放去向；</w:t>
            </w:r>
          </w:p>
          <w:p>
            <w:pPr>
              <w:keepNext w:val="0"/>
              <w:keepLines w:val="0"/>
              <w:pageBreakBefore w:val="0"/>
              <w:widowControl w:val="0"/>
              <w:kinsoku/>
              <w:wordWrap/>
              <w:overflowPunct/>
              <w:topLinePunct w:val="0"/>
              <w:autoSpaceDE/>
              <w:autoSpaceDN/>
              <w:bidi w:val="0"/>
              <w:adjustRightInd/>
              <w:snapToGrid/>
              <w:spacing w:line="360" w:lineRule="auto"/>
              <w:ind w:firstLine="113"/>
              <w:textAlignment w:val="auto"/>
              <w:rPr>
                <w:rFonts w:ascii="宋体" w:hAnsi="宋体" w:cs="宋体"/>
                <w:spacing w:val="-1"/>
                <w:sz w:val="24"/>
                <w:szCs w:val="24"/>
              </w:rPr>
            </w:pPr>
            <w:r>
              <w:rPr>
                <w:rFonts w:hint="eastAsia" w:ascii="宋体" w:hAnsi="宋体" w:cs="宋体"/>
                <w:spacing w:val="-1"/>
                <w:sz w:val="24"/>
                <w:szCs w:val="24"/>
                <w:lang w:val="en-US" w:eastAsia="zh-CN"/>
              </w:rPr>
              <w:t>5</w:t>
            </w:r>
            <w:r>
              <w:rPr>
                <w:rFonts w:ascii="宋体" w:hAnsi="宋体" w:cs="宋体"/>
                <w:spacing w:val="-1"/>
                <w:sz w:val="24"/>
                <w:szCs w:val="24"/>
              </w:rPr>
              <w:t>、固体废弃物：运行期固体废物；</w:t>
            </w:r>
          </w:p>
          <w:p>
            <w:pPr>
              <w:spacing w:before="206" w:line="186" w:lineRule="auto"/>
              <w:ind w:firstLine="111"/>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89" w:type="dxa"/>
            <w:tcBorders>
              <w:top w:val="single" w:color="000000" w:sz="2" w:space="0"/>
              <w:left w:val="single" w:color="000000" w:sz="2" w:space="0"/>
              <w:bottom w:val="single" w:color="000000" w:sz="2" w:space="0"/>
              <w:right w:val="single" w:color="000000" w:sz="4" w:space="0"/>
            </w:tcBorders>
            <w:vAlign w:val="center"/>
          </w:tcPr>
          <w:p>
            <w:pPr>
              <w:spacing w:line="269" w:lineRule="auto"/>
              <w:jc w:val="center"/>
              <w:rPr>
                <w:rFonts w:ascii="黑体"/>
                <w:sz w:val="24"/>
                <w:szCs w:val="24"/>
              </w:rPr>
            </w:pPr>
          </w:p>
          <w:p>
            <w:pPr>
              <w:spacing w:line="270" w:lineRule="auto"/>
              <w:jc w:val="center"/>
              <w:rPr>
                <w:rFonts w:ascii="黑体"/>
                <w:sz w:val="24"/>
                <w:szCs w:val="24"/>
              </w:rPr>
            </w:pPr>
          </w:p>
          <w:p>
            <w:pPr>
              <w:spacing w:line="270" w:lineRule="auto"/>
              <w:jc w:val="center"/>
              <w:rPr>
                <w:rFonts w:ascii="黑体"/>
                <w:sz w:val="24"/>
                <w:szCs w:val="24"/>
              </w:rPr>
            </w:pPr>
          </w:p>
          <w:p>
            <w:pPr>
              <w:spacing w:before="68" w:line="316" w:lineRule="auto"/>
              <w:ind w:left="116" w:right="104"/>
              <w:jc w:val="center"/>
              <w:rPr>
                <w:rFonts w:ascii="宋体" w:hAnsi="宋体" w:cs="宋体"/>
                <w:sz w:val="24"/>
                <w:szCs w:val="24"/>
              </w:rPr>
            </w:pPr>
            <w:r>
              <w:rPr>
                <w:rFonts w:ascii="宋体" w:hAnsi="宋体" w:cs="宋体"/>
                <w:spacing w:val="-3"/>
                <w:sz w:val="24"/>
                <w:szCs w:val="24"/>
              </w:rPr>
              <w:t>环境</w:t>
            </w:r>
            <w:r>
              <w:rPr>
                <w:rFonts w:ascii="宋体" w:hAnsi="宋体" w:cs="宋体"/>
                <w:spacing w:val="-4"/>
                <w:sz w:val="24"/>
                <w:szCs w:val="24"/>
              </w:rPr>
              <w:t>敏感目标</w:t>
            </w:r>
          </w:p>
        </w:tc>
        <w:tc>
          <w:tcPr>
            <w:tcW w:w="8755" w:type="dxa"/>
            <w:tcBorders>
              <w:top w:val="single" w:color="000000" w:sz="2" w:space="0"/>
              <w:left w:val="single" w:color="000000" w:sz="4" w:space="0"/>
              <w:bottom w:val="single" w:color="000000" w:sz="2" w:space="0"/>
              <w:right w:val="single" w:color="000000" w:sz="2" w:space="0"/>
            </w:tcBorders>
          </w:tcPr>
          <w:p>
            <w:pPr>
              <w:spacing w:line="360" w:lineRule="auto"/>
              <w:ind w:firstLine="440" w:firstLineChars="200"/>
              <w:rPr>
                <w:rFonts w:ascii="宋体" w:hAnsi="宋体" w:cs="宋体"/>
                <w:spacing w:val="-10"/>
                <w:sz w:val="24"/>
                <w:szCs w:val="24"/>
              </w:rPr>
            </w:pPr>
          </w:p>
          <w:p>
            <w:pPr>
              <w:widowControl/>
              <w:spacing w:line="360" w:lineRule="auto"/>
              <w:ind w:firstLine="440" w:firstLineChars="200"/>
              <w:rPr>
                <w:rFonts w:ascii="宋体" w:hAnsi="宋体" w:cs="宋体"/>
                <w:color w:val="000000" w:themeColor="text1"/>
                <w:sz w:val="24"/>
                <w:szCs w:val="24"/>
              </w:rPr>
            </w:pPr>
            <w:r>
              <w:rPr>
                <w:rFonts w:ascii="宋体" w:hAnsi="宋体" w:cs="宋体"/>
                <w:color w:val="000000" w:themeColor="text1"/>
                <w:spacing w:val="-10"/>
                <w:sz w:val="24"/>
                <w:szCs w:val="24"/>
              </w:rPr>
              <w:t>根据现场调查，</w:t>
            </w:r>
            <w:r>
              <w:rPr>
                <w:rFonts w:hint="eastAsia" w:ascii="宋体" w:hAnsi="宋体" w:cs="宋体"/>
                <w:color w:val="000000" w:themeColor="text1"/>
                <w:kern w:val="0"/>
                <w:sz w:val="24"/>
                <w:szCs w:val="24"/>
              </w:rPr>
              <w:t>本工程评价范围内没有自然保护区、风景名胜区、世界文化和自然遗产地、海洋特别保护区、饮用水水源保护区等环境敏感区。对照《江苏省国家级生态保护红线规划》，本工程评价范围内不涉及江苏省国家级生态保护红线；对照《省政府关于印发江苏省生态空间管控区域规划的通知》</w:t>
            </w:r>
            <w:r>
              <w:rPr>
                <w:rFonts w:hint="eastAsia" w:ascii="宋体" w:hAnsi="宋体" w:cs="宋体"/>
                <w:color w:val="000000" w:themeColor="text1"/>
                <w:kern w:val="0"/>
                <w:sz w:val="24"/>
                <w:szCs w:val="24"/>
                <w:lang w:eastAsia="zh-CN"/>
              </w:rPr>
              <w:t>，</w:t>
            </w:r>
            <w:r>
              <w:rPr>
                <w:rFonts w:hint="eastAsia" w:ascii="宋体" w:hAnsi="宋体" w:cs="宋体"/>
                <w:color w:val="000000" w:themeColor="text1"/>
                <w:kern w:val="0"/>
                <w:sz w:val="24"/>
                <w:szCs w:val="24"/>
              </w:rPr>
              <w:t>本工程评价范围内不涉及江苏省生态空间保护区域。</w:t>
            </w:r>
          </w:p>
          <w:p>
            <w:pPr>
              <w:spacing w:before="117" w:line="186" w:lineRule="auto"/>
              <w:ind w:firstLine="1894"/>
              <w:rPr>
                <w:rFonts w:ascii="黑体" w:hAnsi="黑体" w:eastAsia="黑体" w:cs="黑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6" w:hRule="atLeast"/>
        </w:trPr>
        <w:tc>
          <w:tcPr>
            <w:tcW w:w="889" w:type="dxa"/>
            <w:tcBorders>
              <w:top w:val="single" w:color="000000" w:sz="2" w:space="0"/>
              <w:left w:val="single" w:color="000000" w:sz="2" w:space="0"/>
              <w:bottom w:val="single" w:color="000000" w:sz="2" w:space="0"/>
              <w:right w:val="single" w:color="000000" w:sz="2" w:space="0"/>
            </w:tcBorders>
            <w:vAlign w:val="center"/>
          </w:tcPr>
          <w:p>
            <w:pPr>
              <w:spacing w:before="178" w:line="316" w:lineRule="auto"/>
              <w:ind w:left="116" w:right="104"/>
              <w:jc w:val="center"/>
              <w:rPr>
                <w:rFonts w:ascii="宋体" w:hAnsi="宋体" w:cs="宋体"/>
                <w:sz w:val="24"/>
                <w:szCs w:val="24"/>
              </w:rPr>
            </w:pPr>
            <w:r>
              <w:rPr>
                <w:rFonts w:ascii="宋体" w:hAnsi="宋体" w:cs="宋体"/>
                <w:spacing w:val="-4"/>
                <w:sz w:val="24"/>
                <w:szCs w:val="24"/>
              </w:rPr>
              <w:t>调查重点</w:t>
            </w:r>
          </w:p>
        </w:tc>
        <w:tc>
          <w:tcPr>
            <w:tcW w:w="8755" w:type="dxa"/>
            <w:tcBorders>
              <w:top w:val="single" w:color="000000" w:sz="2" w:space="0"/>
              <w:left w:val="single" w:color="000000" w:sz="2" w:space="0"/>
              <w:bottom w:val="single" w:color="000000" w:sz="2" w:space="0"/>
              <w:right w:val="single" w:color="000000" w:sz="2" w:space="0"/>
            </w:tcBorders>
          </w:tcPr>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 xml:space="preserve">本次调查内容有工程施工期对施工作业区域造成的生态影响及生态恢复情况以及试运营期造成的大气环境、声环境、水环境影响、固废影响，环境影响报告表及批复中提出的各项环境保护措施落实情况及其有效性。 </w:t>
            </w:r>
          </w:p>
          <w:p>
            <w:pPr>
              <w:spacing w:line="360" w:lineRule="auto"/>
              <w:ind w:firstLine="480" w:firstLineChars="200"/>
              <w:rPr>
                <w:sz w:val="24"/>
                <w:szCs w:val="24"/>
              </w:rPr>
            </w:pPr>
            <w:r>
              <w:rPr>
                <w:sz w:val="24"/>
                <w:szCs w:val="24"/>
              </w:rPr>
              <w:t>本次调查的重点为：工程试运营期造成的声环境</w:t>
            </w:r>
            <w:r>
              <w:rPr>
                <w:rFonts w:hint="eastAsia"/>
                <w:sz w:val="24"/>
                <w:szCs w:val="24"/>
              </w:rPr>
              <w:t>和生态</w:t>
            </w:r>
            <w:r>
              <w:rPr>
                <w:sz w:val="24"/>
                <w:szCs w:val="24"/>
              </w:rPr>
              <w:t>环境影响。</w:t>
            </w:r>
          </w:p>
          <w:p>
            <w:pPr>
              <w:pStyle w:val="32"/>
              <w:rPr>
                <w:sz w:val="24"/>
                <w:szCs w:val="24"/>
              </w:rPr>
            </w:pPr>
          </w:p>
          <w:p>
            <w:pPr>
              <w:pStyle w:val="32"/>
              <w:ind w:firstLine="0" w:firstLineChars="0"/>
              <w:rPr>
                <w:sz w:val="24"/>
                <w:szCs w:val="24"/>
              </w:rPr>
            </w:pPr>
          </w:p>
          <w:p>
            <w:pPr>
              <w:pStyle w:val="32"/>
              <w:ind w:firstLine="0" w:firstLineChars="0"/>
              <w:rPr>
                <w:sz w:val="24"/>
                <w:szCs w:val="24"/>
              </w:rPr>
            </w:pPr>
          </w:p>
          <w:p>
            <w:pPr>
              <w:pStyle w:val="32"/>
              <w:ind w:firstLine="0" w:firstLineChars="0"/>
              <w:rPr>
                <w:sz w:val="24"/>
                <w:szCs w:val="24"/>
              </w:rPr>
            </w:pPr>
          </w:p>
          <w:p>
            <w:pPr>
              <w:pStyle w:val="32"/>
              <w:ind w:firstLine="0" w:firstLineChars="0"/>
              <w:rPr>
                <w:sz w:val="24"/>
                <w:szCs w:val="24"/>
              </w:rPr>
            </w:pPr>
          </w:p>
          <w:p>
            <w:pPr>
              <w:pStyle w:val="32"/>
              <w:ind w:firstLine="0" w:firstLineChars="0"/>
              <w:rPr>
                <w:sz w:val="24"/>
                <w:szCs w:val="24"/>
              </w:rPr>
            </w:pPr>
          </w:p>
          <w:p>
            <w:pPr>
              <w:tabs>
                <w:tab w:val="left" w:pos="716"/>
              </w:tabs>
              <w:jc w:val="left"/>
              <w:rPr>
                <w:sz w:val="24"/>
                <w:szCs w:val="24"/>
              </w:rPr>
            </w:pPr>
          </w:p>
        </w:tc>
      </w:tr>
    </w:tbl>
    <w:p>
      <w:pPr>
        <w:spacing w:line="360" w:lineRule="auto"/>
        <w:jc w:val="left"/>
        <w:outlineLvl w:val="0"/>
        <w:rPr>
          <w:rFonts w:ascii="黑体" w:hAnsi="黑体" w:eastAsia="黑体" w:cs="黑体"/>
          <w:b/>
          <w:bCs/>
          <w:sz w:val="28"/>
          <w:szCs w:val="28"/>
        </w:rPr>
      </w:pPr>
      <w:bookmarkStart w:id="5" w:name="_Toc32530"/>
      <w:r>
        <w:rPr>
          <w:rFonts w:hint="eastAsia" w:ascii="宋体" w:hAnsi="宋体" w:cs="宋体"/>
          <w:b/>
          <w:bCs/>
          <w:spacing w:val="-4"/>
          <w:sz w:val="28"/>
          <w:szCs w:val="28"/>
        </w:rPr>
        <w:t>表三</w:t>
      </w:r>
      <w:r>
        <w:rPr>
          <w:rFonts w:hint="eastAsia" w:ascii="宋体" w:hAnsi="宋体" w:cs="宋体"/>
          <w:b/>
          <w:bCs/>
          <w:spacing w:val="-4"/>
          <w:sz w:val="28"/>
          <w:szCs w:val="28"/>
          <w:lang w:val="en-US" w:eastAsia="zh-CN"/>
        </w:rPr>
        <w:t xml:space="preserve"> </w:t>
      </w:r>
      <w:r>
        <w:rPr>
          <w:rFonts w:hint="eastAsia" w:ascii="宋体" w:hAnsi="宋体" w:cs="宋体"/>
          <w:b/>
          <w:bCs/>
          <w:spacing w:val="-4"/>
          <w:sz w:val="28"/>
          <w:szCs w:val="28"/>
        </w:rPr>
        <w:t>验收执行标准</w:t>
      </w:r>
      <w:bookmarkEnd w:id="5"/>
    </w:p>
    <w:p>
      <w:pPr>
        <w:spacing w:line="80" w:lineRule="exact"/>
      </w:pPr>
    </w:p>
    <w:tbl>
      <w:tblPr>
        <w:tblStyle w:val="120"/>
        <w:tblW w:w="5003" w:type="pct"/>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1" w:hRule="atLeast"/>
        </w:trPr>
        <w:tc>
          <w:tcPr>
            <w:tcW w:w="9644" w:type="dxa"/>
          </w:tcPr>
          <w:p>
            <w:pPr>
              <w:spacing w:line="360" w:lineRule="auto"/>
              <w:rPr>
                <w:sz w:val="24"/>
                <w:szCs w:val="24"/>
              </w:rPr>
            </w:pPr>
            <w:r>
              <w:rPr>
                <w:rFonts w:hint="eastAsia"/>
                <w:sz w:val="24"/>
                <w:szCs w:val="24"/>
              </w:rPr>
              <w:t>3</w:t>
            </w:r>
            <w:r>
              <w:rPr>
                <w:sz w:val="24"/>
                <w:szCs w:val="24"/>
              </w:rPr>
              <w:t>.</w:t>
            </w:r>
            <w:r>
              <w:rPr>
                <w:rFonts w:hint="eastAsia"/>
                <w:sz w:val="24"/>
                <w:szCs w:val="24"/>
              </w:rPr>
              <w:t>1</w:t>
            </w:r>
            <w:r>
              <w:rPr>
                <w:sz w:val="24"/>
                <w:szCs w:val="24"/>
              </w:rPr>
              <w:t>厂界环境噪声执行标准</w:t>
            </w:r>
          </w:p>
          <w:p>
            <w:pPr>
              <w:jc w:val="center"/>
              <w:rPr>
                <w:sz w:val="24"/>
                <w:szCs w:val="24"/>
              </w:rPr>
            </w:pPr>
            <w:r>
              <w:rPr>
                <w:sz w:val="24"/>
                <w:szCs w:val="24"/>
              </w:rPr>
              <w:t>表1.</w:t>
            </w:r>
            <w:r>
              <w:rPr>
                <w:rFonts w:hint="eastAsia"/>
                <w:sz w:val="24"/>
                <w:szCs w:val="24"/>
              </w:rPr>
              <w:t>1 厂界噪声排放限值</w:t>
            </w:r>
          </w:p>
          <w:tbl>
            <w:tblPr>
              <w:tblStyle w:val="33"/>
              <w:tblW w:w="45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81"/>
              <w:gridCol w:w="1403"/>
              <w:gridCol w:w="1585"/>
              <w:gridCol w:w="40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厂界</w:t>
                  </w:r>
                </w:p>
              </w:tc>
              <w:tc>
                <w:tcPr>
                  <w:tcW w:w="80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sz w:val="24"/>
                      <w:szCs w:val="24"/>
                    </w:rPr>
                    <w:t>昼 间</w:t>
                  </w:r>
                </w:p>
              </w:tc>
              <w:tc>
                <w:tcPr>
                  <w:tcW w:w="91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sz w:val="24"/>
                      <w:szCs w:val="24"/>
                    </w:rPr>
                    <w:t>夜 间</w:t>
                  </w:r>
                </w:p>
              </w:tc>
              <w:tc>
                <w:tcPr>
                  <w:tcW w:w="230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sz w:val="24"/>
                      <w:szCs w:val="24"/>
                    </w:rPr>
                    <w:t>依    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4"/>
                      <w:szCs w:val="24"/>
                      <w:lang w:val="en-US" w:eastAsia="zh-CN"/>
                    </w:rPr>
                  </w:pPr>
                  <w:r>
                    <w:rPr>
                      <w:rFonts w:hint="eastAsia"/>
                      <w:sz w:val="24"/>
                      <w:szCs w:val="24"/>
                      <w:lang w:val="en-US" w:eastAsia="zh-CN"/>
                    </w:rPr>
                    <w:t>风机组</w:t>
                  </w:r>
                </w:p>
              </w:tc>
              <w:tc>
                <w:tcPr>
                  <w:tcW w:w="80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55</w:t>
                  </w:r>
                  <w:r>
                    <w:rPr>
                      <w:sz w:val="24"/>
                      <w:szCs w:val="24"/>
                    </w:rPr>
                    <w:t>dB（A）</w:t>
                  </w:r>
                </w:p>
              </w:tc>
              <w:tc>
                <w:tcPr>
                  <w:tcW w:w="91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45</w:t>
                  </w:r>
                  <w:r>
                    <w:rPr>
                      <w:sz w:val="24"/>
                      <w:szCs w:val="24"/>
                    </w:rPr>
                    <w:t>dB（A）</w:t>
                  </w:r>
                </w:p>
              </w:tc>
              <w:tc>
                <w:tcPr>
                  <w:tcW w:w="230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《工业企业厂界环境噪声排放标准》（GB12348-2008）1类标准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96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备注</w:t>
                  </w:r>
                </w:p>
              </w:tc>
              <w:tc>
                <w:tcPr>
                  <w:tcW w:w="4031" w:type="pct"/>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4"/>
                      <w:szCs w:val="24"/>
                    </w:rPr>
                  </w:pPr>
                  <w:r>
                    <w:rPr>
                      <w:rFonts w:hint="eastAsia"/>
                      <w:sz w:val="24"/>
                      <w:szCs w:val="24"/>
                    </w:rPr>
                    <w:t>/</w:t>
                  </w:r>
                </w:p>
              </w:tc>
            </w:tr>
          </w:tbl>
          <w:p>
            <w:pPr>
              <w:spacing w:line="360" w:lineRule="auto"/>
              <w:rPr>
                <w:sz w:val="24"/>
                <w:szCs w:val="24"/>
              </w:rPr>
            </w:pPr>
            <w:r>
              <w:rPr>
                <w:rFonts w:hint="eastAsia"/>
                <w:sz w:val="24"/>
                <w:szCs w:val="24"/>
              </w:rPr>
              <w:t>3.2 固废执行标准</w:t>
            </w:r>
          </w:p>
          <w:p>
            <w:pPr>
              <w:spacing w:line="360" w:lineRule="auto"/>
              <w:ind w:firstLine="480" w:firstLineChars="200"/>
              <w:rPr>
                <w:rFonts w:hint="eastAsia"/>
                <w:sz w:val="24"/>
                <w:szCs w:val="24"/>
              </w:rPr>
            </w:pPr>
            <w:r>
              <w:rPr>
                <w:rFonts w:hint="eastAsia"/>
                <w:sz w:val="24"/>
                <w:szCs w:val="24"/>
              </w:rPr>
              <w:t>本项目产生的固废执行《中华人民共和国固体废物污染环境防治法》（2016年11月7日修订）。</w:t>
            </w:r>
          </w:p>
          <w:p>
            <w:pPr>
              <w:pStyle w:val="32"/>
              <w:ind w:left="0" w:leftChars="0" w:firstLine="0" w:firstLineChars="0"/>
              <w:rPr>
                <w:rFonts w:hint="eastAsia"/>
                <w:sz w:val="24"/>
                <w:szCs w:val="24"/>
                <w:lang w:val="en-US" w:eastAsia="zh-CN"/>
              </w:rPr>
            </w:pPr>
            <w:r>
              <w:rPr>
                <w:rFonts w:hint="eastAsia"/>
                <w:sz w:val="24"/>
                <w:szCs w:val="24"/>
                <w:lang w:val="en-US" w:eastAsia="zh-CN"/>
              </w:rPr>
              <w:t>3.3 废气排放标准</w:t>
            </w:r>
          </w:p>
          <w:p>
            <w:pPr>
              <w:spacing w:line="360" w:lineRule="auto"/>
              <w:ind w:firstLine="504" w:firstLineChars="210"/>
              <w:rPr>
                <w:sz w:val="24"/>
                <w:szCs w:val="24"/>
              </w:rPr>
            </w:pPr>
            <w:r>
              <w:rPr>
                <w:sz w:val="24"/>
                <w:szCs w:val="24"/>
              </w:rPr>
              <w:t>食堂油烟：建设项目食堂设 2 个灶头。食堂油烟排放执行《饮食业油烟排放标准》（GB18483-2001）小型规模标准，具体规定见表</w:t>
            </w:r>
            <w:r>
              <w:rPr>
                <w:rFonts w:hint="eastAsia"/>
                <w:sz w:val="24"/>
                <w:szCs w:val="24"/>
                <w:lang w:val="en-US" w:eastAsia="zh-CN"/>
              </w:rPr>
              <w:t>1.2</w:t>
            </w:r>
            <w:r>
              <w:rPr>
                <w:sz w:val="24"/>
                <w:szCs w:val="24"/>
              </w:rPr>
              <w:t xml:space="preserve"> 和表 </w:t>
            </w:r>
            <w:r>
              <w:rPr>
                <w:rFonts w:hint="eastAsia"/>
                <w:sz w:val="24"/>
                <w:szCs w:val="24"/>
                <w:lang w:val="en-US" w:eastAsia="zh-CN"/>
              </w:rPr>
              <w:t>1.3</w:t>
            </w:r>
            <w:r>
              <w:rPr>
                <w:sz w:val="24"/>
                <w:szCs w:val="24"/>
              </w:rPr>
              <w:t>。</w:t>
            </w:r>
          </w:p>
          <w:p>
            <w:pPr>
              <w:adjustRightInd w:val="0"/>
              <w:snapToGrid w:val="0"/>
              <w:jc w:val="center"/>
              <w:rPr>
                <w:b w:val="0"/>
                <w:bCs/>
                <w:sz w:val="24"/>
                <w:szCs w:val="24"/>
              </w:rPr>
            </w:pPr>
            <w:r>
              <w:rPr>
                <w:b w:val="0"/>
                <w:bCs/>
                <w:sz w:val="24"/>
                <w:szCs w:val="24"/>
              </w:rPr>
              <w:t>表</w:t>
            </w:r>
            <w:r>
              <w:rPr>
                <w:rFonts w:hint="eastAsia"/>
                <w:b w:val="0"/>
                <w:bCs/>
                <w:sz w:val="24"/>
                <w:szCs w:val="24"/>
                <w:lang w:val="en-US" w:eastAsia="zh-CN"/>
              </w:rPr>
              <w:t>1.2</w:t>
            </w:r>
            <w:r>
              <w:rPr>
                <w:b w:val="0"/>
                <w:bCs/>
                <w:sz w:val="24"/>
                <w:szCs w:val="24"/>
              </w:rPr>
              <w:t xml:space="preserve">  饮食业单位的规模划分</w:t>
            </w:r>
          </w:p>
          <w:tbl>
            <w:tblPr>
              <w:tblStyle w:val="33"/>
              <w:tblW w:w="45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4"/>
              <w:gridCol w:w="3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规模</w:t>
                  </w:r>
                </w:p>
              </w:tc>
              <w:tc>
                <w:tcPr>
                  <w:tcW w:w="34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小型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基准灶头数</w:t>
                  </w:r>
                </w:p>
              </w:tc>
              <w:tc>
                <w:tcPr>
                  <w:tcW w:w="34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对应灶头总功率（10</w:t>
                  </w:r>
                  <w:r>
                    <w:rPr>
                      <w:snapToGrid w:val="0"/>
                      <w:kern w:val="0"/>
                      <w:sz w:val="24"/>
                      <w:szCs w:val="24"/>
                      <w:vertAlign w:val="superscript"/>
                    </w:rPr>
                    <w:t>8</w:t>
                  </w:r>
                  <w:r>
                    <w:rPr>
                      <w:snapToGrid w:val="0"/>
                      <w:kern w:val="0"/>
                      <w:sz w:val="24"/>
                      <w:szCs w:val="24"/>
                    </w:rPr>
                    <w:t>/h）</w:t>
                  </w:r>
                </w:p>
              </w:tc>
              <w:tc>
                <w:tcPr>
                  <w:tcW w:w="34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1.6，＜5.00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对应排气罩灶面总投影面积（m</w:t>
                  </w:r>
                  <w:r>
                    <w:rPr>
                      <w:snapToGrid w:val="0"/>
                      <w:kern w:val="0"/>
                      <w:sz w:val="24"/>
                      <w:szCs w:val="24"/>
                      <w:vertAlign w:val="superscript"/>
                    </w:rPr>
                    <w:t>2</w:t>
                  </w:r>
                  <w:r>
                    <w:rPr>
                      <w:snapToGrid w:val="0"/>
                      <w:kern w:val="0"/>
                      <w:sz w:val="24"/>
                      <w:szCs w:val="24"/>
                    </w:rPr>
                    <w:t>）</w:t>
                  </w:r>
                </w:p>
              </w:tc>
              <w:tc>
                <w:tcPr>
                  <w:tcW w:w="34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snapToGrid w:val="0"/>
                      <w:kern w:val="0"/>
                      <w:sz w:val="24"/>
                      <w:szCs w:val="24"/>
                    </w:rPr>
                  </w:pPr>
                  <w:r>
                    <w:rPr>
                      <w:snapToGrid w:val="0"/>
                      <w:kern w:val="0"/>
                      <w:sz w:val="24"/>
                      <w:szCs w:val="24"/>
                    </w:rPr>
                    <w:t>≥1.1，＜3.3</w:t>
                  </w:r>
                </w:p>
              </w:tc>
            </w:tr>
          </w:tbl>
          <w:p>
            <w:pPr>
              <w:adjustRightInd w:val="0"/>
              <w:snapToGrid w:val="0"/>
              <w:jc w:val="center"/>
              <w:rPr>
                <w:b w:val="0"/>
                <w:bCs/>
                <w:sz w:val="24"/>
                <w:szCs w:val="24"/>
              </w:rPr>
            </w:pPr>
          </w:p>
          <w:p>
            <w:pPr>
              <w:adjustRightInd w:val="0"/>
              <w:snapToGrid w:val="0"/>
              <w:jc w:val="center"/>
              <w:rPr>
                <w:b w:val="0"/>
                <w:bCs/>
                <w:sz w:val="24"/>
                <w:szCs w:val="24"/>
              </w:rPr>
            </w:pPr>
            <w:r>
              <w:rPr>
                <w:b w:val="0"/>
                <w:bCs/>
                <w:sz w:val="24"/>
                <w:szCs w:val="24"/>
              </w:rPr>
              <w:t>表</w:t>
            </w:r>
            <w:r>
              <w:rPr>
                <w:rFonts w:hint="eastAsia"/>
                <w:b w:val="0"/>
                <w:bCs/>
                <w:sz w:val="24"/>
                <w:szCs w:val="24"/>
                <w:lang w:val="en-US" w:eastAsia="zh-CN"/>
              </w:rPr>
              <w:t>1.3</w:t>
            </w:r>
            <w:r>
              <w:rPr>
                <w:b w:val="0"/>
                <w:bCs/>
                <w:sz w:val="24"/>
                <w:szCs w:val="24"/>
              </w:rPr>
              <w:t xml:space="preserve"> 油烟最高允许排放浓度和油烟净化设施最低去除效率</w:t>
            </w:r>
          </w:p>
          <w:tbl>
            <w:tblPr>
              <w:tblStyle w:val="33"/>
              <w:tblW w:w="45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4"/>
              <w:gridCol w:w="3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775"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规模</w:t>
                  </w:r>
                </w:p>
              </w:tc>
              <w:tc>
                <w:tcPr>
                  <w:tcW w:w="3426"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小型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775"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最高允许排放浓度（mg/m</w:t>
                  </w:r>
                  <w:r>
                    <w:rPr>
                      <w:snapToGrid w:val="0"/>
                      <w:kern w:val="0"/>
                      <w:sz w:val="24"/>
                      <w:szCs w:val="24"/>
                      <w:vertAlign w:val="superscript"/>
                    </w:rPr>
                    <w:t>3</w:t>
                  </w:r>
                  <w:r>
                    <w:rPr>
                      <w:snapToGrid w:val="0"/>
                      <w:kern w:val="0"/>
                      <w:sz w:val="24"/>
                      <w:szCs w:val="24"/>
                    </w:rPr>
                    <w:t>）</w:t>
                  </w:r>
                </w:p>
              </w:tc>
              <w:tc>
                <w:tcPr>
                  <w:tcW w:w="3426"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75"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净化设施最低去除效率（%）</w:t>
                  </w:r>
                </w:p>
              </w:tc>
              <w:tc>
                <w:tcPr>
                  <w:tcW w:w="3426" w:type="dxa"/>
                  <w:tcBorders>
                    <w:tl2br w:val="nil"/>
                    <w:tr2bl w:val="nil"/>
                  </w:tcBorders>
                  <w:noWrap w:val="0"/>
                  <w:vAlign w:val="center"/>
                </w:tcPr>
                <w:p>
                  <w:pPr>
                    <w:adjustRightInd w:val="0"/>
                    <w:snapToGrid w:val="0"/>
                    <w:jc w:val="center"/>
                    <w:textAlignment w:val="baseline"/>
                    <w:rPr>
                      <w:snapToGrid w:val="0"/>
                      <w:kern w:val="0"/>
                      <w:sz w:val="24"/>
                      <w:szCs w:val="24"/>
                    </w:rPr>
                  </w:pPr>
                  <w:r>
                    <w:rPr>
                      <w:snapToGrid w:val="0"/>
                      <w:kern w:val="0"/>
                      <w:sz w:val="24"/>
                      <w:szCs w:val="24"/>
                    </w:rPr>
                    <w:t>60</w:t>
                  </w:r>
                </w:p>
              </w:tc>
            </w:tr>
          </w:tbl>
          <w:p>
            <w:pPr>
              <w:pStyle w:val="32"/>
              <w:ind w:left="0" w:leftChars="0" w:firstLine="0" w:firstLineChars="0"/>
              <w:rPr>
                <w:rFonts w:hint="eastAsia"/>
                <w:sz w:val="24"/>
                <w:szCs w:val="24"/>
                <w:lang w:val="en-US" w:eastAsia="zh-CN"/>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32"/>
              <w:rPr>
                <w:color w:val="FF0000"/>
                <w:sz w:val="24"/>
                <w:szCs w:val="24"/>
              </w:rPr>
            </w:pPr>
          </w:p>
          <w:p>
            <w:pPr>
              <w:pStyle w:val="32"/>
              <w:rPr>
                <w:color w:val="FF0000"/>
                <w:sz w:val="24"/>
                <w:szCs w:val="24"/>
              </w:rPr>
            </w:pPr>
          </w:p>
          <w:p>
            <w:pPr>
              <w:pStyle w:val="32"/>
              <w:rPr>
                <w:color w:val="FF0000"/>
                <w:sz w:val="24"/>
                <w:szCs w:val="24"/>
              </w:rPr>
            </w:pPr>
          </w:p>
          <w:p>
            <w:pPr>
              <w:pStyle w:val="32"/>
              <w:rPr>
                <w:color w:val="FF0000"/>
                <w:sz w:val="24"/>
                <w:szCs w:val="24"/>
              </w:rPr>
            </w:pPr>
          </w:p>
          <w:p>
            <w:pPr>
              <w:pStyle w:val="32"/>
              <w:rPr>
                <w:color w:val="FF0000"/>
                <w:sz w:val="24"/>
                <w:szCs w:val="24"/>
              </w:rPr>
            </w:pPr>
          </w:p>
          <w:p>
            <w:pPr>
              <w:pStyle w:val="32"/>
              <w:rPr>
                <w:color w:val="FF0000"/>
                <w:sz w:val="24"/>
                <w:szCs w:val="24"/>
              </w:rPr>
            </w:pPr>
          </w:p>
          <w:p>
            <w:pPr>
              <w:pStyle w:val="32"/>
              <w:rPr>
                <w:color w:val="FF0000"/>
                <w:sz w:val="24"/>
                <w:szCs w:val="24"/>
              </w:rPr>
            </w:pPr>
          </w:p>
          <w:p>
            <w:pPr>
              <w:pStyle w:val="32"/>
              <w:ind w:firstLine="0" w:firstLineChars="0"/>
              <w:rPr>
                <w:color w:val="FF0000"/>
                <w:sz w:val="24"/>
                <w:szCs w:val="24"/>
              </w:rPr>
            </w:pPr>
          </w:p>
          <w:p>
            <w:pPr>
              <w:pStyle w:val="32"/>
              <w:ind w:firstLine="0" w:firstLineChars="0"/>
              <w:rPr>
                <w:color w:val="FF0000"/>
                <w:sz w:val="24"/>
                <w:szCs w:val="24"/>
              </w:rPr>
            </w:pPr>
          </w:p>
        </w:tc>
      </w:tr>
    </w:tbl>
    <w:p>
      <w:pPr>
        <w:pStyle w:val="3"/>
        <w:tabs>
          <w:tab w:val="left" w:pos="7275"/>
        </w:tabs>
        <w:spacing w:beforeLines="50" w:afterLines="50" w:line="240" w:lineRule="auto"/>
        <w:rPr>
          <w:sz w:val="28"/>
          <w:szCs w:val="28"/>
        </w:rPr>
      </w:pPr>
      <w:r>
        <w:rPr>
          <w:sz w:val="28"/>
          <w:szCs w:val="28"/>
        </w:rPr>
        <w:br w:type="page"/>
      </w:r>
      <w:bookmarkStart w:id="6" w:name="_Toc10130"/>
      <w:r>
        <w:rPr>
          <w:sz w:val="28"/>
          <w:szCs w:val="28"/>
        </w:rPr>
        <w:t>表</w:t>
      </w:r>
      <w:r>
        <w:rPr>
          <w:rFonts w:hint="eastAsia"/>
          <w:sz w:val="28"/>
          <w:szCs w:val="28"/>
        </w:rPr>
        <w:t>四</w:t>
      </w:r>
      <w:r>
        <w:rPr>
          <w:sz w:val="28"/>
          <w:szCs w:val="28"/>
        </w:rPr>
        <w:t xml:space="preserve"> 主要生产工艺及污染物产出流程（附示意图）</w:t>
      </w:r>
      <w:bookmarkEnd w:id="3"/>
      <w:bookmarkEnd w:id="4"/>
      <w:bookmarkEnd w:id="6"/>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7" w:hRule="atLeast"/>
          <w:jc w:val="center"/>
        </w:trPr>
        <w:tc>
          <w:tcPr>
            <w:tcW w:w="8032" w:type="dxa"/>
            <w:tcBorders>
              <w:top w:val="single" w:color="auto" w:sz="12" w:space="0"/>
              <w:left w:val="single" w:color="auto" w:sz="12" w:space="0"/>
              <w:bottom w:val="single" w:color="auto" w:sz="12" w:space="0"/>
              <w:right w:val="single" w:color="auto" w:sz="12" w:space="0"/>
            </w:tcBorders>
            <w:shd w:val="clear" w:color="auto" w:fill="auto"/>
            <w:vAlign w:val="center"/>
          </w:tcPr>
          <w:p>
            <w:pPr>
              <w:spacing w:line="360" w:lineRule="auto"/>
              <w:ind w:right="-71" w:rightChars="-34"/>
              <w:rPr>
                <w:b/>
                <w:sz w:val="28"/>
                <w:szCs w:val="28"/>
              </w:rPr>
            </w:pPr>
            <w:r>
              <w:rPr>
                <w:rFonts w:hint="eastAsia"/>
                <w:b/>
                <w:sz w:val="28"/>
                <w:szCs w:val="28"/>
              </w:rPr>
              <w:t>4.1工程建设内容</w:t>
            </w:r>
          </w:p>
          <w:p>
            <w:pPr>
              <w:spacing w:line="416" w:lineRule="auto"/>
              <w:ind w:firstLine="480" w:firstLineChars="200"/>
              <w:rPr>
                <w:rFonts w:hint="eastAsia"/>
                <w:color w:val="000000"/>
                <w:sz w:val="24"/>
                <w:lang w:eastAsia="zh-CN"/>
              </w:rPr>
            </w:pPr>
            <w:r>
              <w:rPr>
                <w:rFonts w:hint="eastAsia"/>
                <w:color w:val="000000"/>
                <w:sz w:val="24"/>
              </w:rPr>
              <w:t>本项目位于</w:t>
            </w:r>
            <w:r>
              <w:rPr>
                <w:rFonts w:hint="eastAsia"/>
                <w:color w:val="000000"/>
                <w:sz w:val="24"/>
                <w:lang w:eastAsia="zh-CN"/>
              </w:rPr>
              <w:t>邳州市车辐山镇、戴庄镇</w:t>
            </w:r>
            <w:r>
              <w:rPr>
                <w:rFonts w:hint="eastAsia"/>
                <w:color w:val="000000"/>
                <w:sz w:val="24"/>
              </w:rPr>
              <w:t>。</w:t>
            </w:r>
            <w:r>
              <w:rPr>
                <w:rFonts w:hint="eastAsia"/>
                <w:sz w:val="24"/>
              </w:rPr>
              <w:t>本项目风力发电机组成以分散式分布在</w:t>
            </w:r>
            <w:r>
              <w:rPr>
                <w:rFonts w:hint="eastAsia"/>
                <w:sz w:val="24"/>
                <w:lang w:eastAsia="zh-CN"/>
              </w:rPr>
              <w:t>邳州市车辐山镇、戴庄镇</w:t>
            </w:r>
            <w:r>
              <w:rPr>
                <w:rFonts w:hint="eastAsia"/>
                <w:sz w:val="24"/>
              </w:rPr>
              <w:t>境内</w:t>
            </w:r>
            <w:r>
              <w:rPr>
                <w:rFonts w:hint="eastAsia"/>
                <w:color w:val="000000"/>
                <w:sz w:val="24"/>
                <w:lang w:eastAsia="zh-CN"/>
              </w:rPr>
              <w:t>，项目将建设2.5MW风力发电机组35台，总装机规模87.5MW。其中车辐山镇风电机组20台，装机容量50MW；戴庄镇风电机组15台，装机容量37.5MW。在戴庄镇新建一座含运行管理中心的升压站，与车辐山镇共用。配套建设道路、消防等附属设施。</w:t>
            </w:r>
          </w:p>
          <w:p>
            <w:pPr>
              <w:spacing w:line="416" w:lineRule="auto"/>
              <w:ind w:firstLine="480" w:firstLineChars="200"/>
              <w:rPr>
                <w:sz w:val="24"/>
              </w:rPr>
            </w:pPr>
            <w:r>
              <w:rPr>
                <w:rFonts w:hint="eastAsia"/>
                <w:bCs/>
                <w:sz w:val="24"/>
              </w:rPr>
              <w:t>华润新能源（邳州）有限公司成立于2017年12月20日，其主营业务为风力等新能源发电工程开发、设计、建设、运营。该公司投资</w:t>
            </w:r>
            <w:r>
              <w:rPr>
                <w:rFonts w:hint="eastAsia"/>
                <w:bCs/>
                <w:sz w:val="24"/>
                <w:lang w:val="en-US" w:eastAsia="zh-CN"/>
              </w:rPr>
              <w:t>62513</w:t>
            </w:r>
            <w:r>
              <w:rPr>
                <w:rFonts w:hint="eastAsia"/>
                <w:bCs/>
                <w:sz w:val="24"/>
              </w:rPr>
              <w:t>万元人民币于</w:t>
            </w:r>
            <w:r>
              <w:rPr>
                <w:rFonts w:hint="eastAsia"/>
                <w:bCs/>
                <w:sz w:val="24"/>
                <w:lang w:eastAsia="zh-CN"/>
              </w:rPr>
              <w:t>邳州市车辐山镇、戴庄镇</w:t>
            </w:r>
            <w:r>
              <w:rPr>
                <w:rFonts w:hint="eastAsia"/>
                <w:bCs/>
                <w:sz w:val="24"/>
              </w:rPr>
              <w:t>建设</w:t>
            </w:r>
            <w:r>
              <w:rPr>
                <w:rFonts w:hint="eastAsia"/>
                <w:bCs/>
                <w:sz w:val="24"/>
                <w:lang w:eastAsia="zh-CN"/>
              </w:rPr>
              <w:t>邳州市车辐山戴庄风电场项目</w:t>
            </w:r>
            <w:r>
              <w:rPr>
                <w:bCs/>
                <w:sz w:val="24"/>
              </w:rPr>
              <w:t>，</w:t>
            </w:r>
            <w:r>
              <w:rPr>
                <w:rFonts w:hint="eastAsia"/>
                <w:bCs/>
                <w:sz w:val="24"/>
              </w:rPr>
              <w:t>建设主要内容为：建设2.5MW风力发电机组</w:t>
            </w:r>
            <w:r>
              <w:rPr>
                <w:rFonts w:hint="eastAsia"/>
                <w:bCs/>
                <w:sz w:val="24"/>
                <w:lang w:val="en-US" w:eastAsia="zh-CN"/>
              </w:rPr>
              <w:t>33</w:t>
            </w:r>
            <w:r>
              <w:rPr>
                <w:rFonts w:hint="eastAsia"/>
                <w:bCs/>
                <w:sz w:val="24"/>
              </w:rPr>
              <w:t>台，总装机规模87.5MW。其中车辐山镇风电机组20台，装机容量50MW；戴庄镇风电机组</w:t>
            </w:r>
            <w:r>
              <w:rPr>
                <w:rFonts w:hint="eastAsia"/>
                <w:bCs/>
                <w:sz w:val="24"/>
                <w:lang w:val="en-US" w:eastAsia="zh-CN"/>
              </w:rPr>
              <w:t>13</w:t>
            </w:r>
            <w:r>
              <w:rPr>
                <w:rFonts w:hint="eastAsia"/>
                <w:bCs/>
                <w:sz w:val="24"/>
              </w:rPr>
              <w:t>台，装机容量37.5MW。在戴庄镇新建一座含运行管理中心的升压站。公司于20</w:t>
            </w:r>
            <w:r>
              <w:rPr>
                <w:rFonts w:hint="eastAsia"/>
                <w:bCs/>
                <w:sz w:val="24"/>
                <w:lang w:val="en-US" w:eastAsia="zh-CN"/>
              </w:rPr>
              <w:t>19</w:t>
            </w:r>
            <w:r>
              <w:rPr>
                <w:rFonts w:hint="eastAsia"/>
                <w:bCs/>
                <w:sz w:val="24"/>
              </w:rPr>
              <w:t>年</w:t>
            </w:r>
            <w:r>
              <w:rPr>
                <w:rFonts w:hint="eastAsia"/>
                <w:color w:val="000000"/>
                <w:sz w:val="24"/>
              </w:rPr>
              <w:t>委托</w:t>
            </w:r>
            <w:r>
              <w:rPr>
                <w:rFonts w:hint="eastAsia"/>
                <w:color w:val="000000"/>
                <w:sz w:val="24"/>
                <w:lang w:val="en-US" w:eastAsia="zh-CN"/>
              </w:rPr>
              <w:t>江苏新诚润科工程咨询有限公司</w:t>
            </w:r>
            <w:r>
              <w:rPr>
                <w:rFonts w:hint="eastAsia"/>
                <w:color w:val="000000"/>
                <w:sz w:val="24"/>
              </w:rPr>
              <w:t>编制了《</w:t>
            </w:r>
            <w:r>
              <w:rPr>
                <w:rFonts w:hint="eastAsia"/>
                <w:color w:val="000000"/>
                <w:sz w:val="24"/>
                <w:lang w:eastAsia="zh-CN"/>
              </w:rPr>
              <w:t>邳州市车辐山戴庄风电场项目</w:t>
            </w:r>
            <w:r>
              <w:rPr>
                <w:rFonts w:hint="eastAsia"/>
                <w:color w:val="000000"/>
                <w:sz w:val="24"/>
              </w:rPr>
              <w:t>环境影响报告表》，该项目于2</w:t>
            </w:r>
            <w:r>
              <w:rPr>
                <w:color w:val="000000"/>
                <w:sz w:val="24"/>
              </w:rPr>
              <w:t>0</w:t>
            </w:r>
            <w:r>
              <w:rPr>
                <w:rFonts w:hint="eastAsia"/>
                <w:color w:val="000000"/>
                <w:sz w:val="24"/>
                <w:lang w:val="en-US" w:eastAsia="zh-CN"/>
              </w:rPr>
              <w:t>19</w:t>
            </w:r>
            <w:r>
              <w:rPr>
                <w:rFonts w:hint="eastAsia"/>
                <w:color w:val="000000"/>
                <w:sz w:val="24"/>
              </w:rPr>
              <w:t>年</w:t>
            </w:r>
            <w:r>
              <w:rPr>
                <w:rFonts w:hint="eastAsia"/>
                <w:color w:val="000000"/>
                <w:sz w:val="24"/>
                <w:lang w:val="en-US" w:eastAsia="zh-CN"/>
              </w:rPr>
              <w:t>9</w:t>
            </w:r>
            <w:r>
              <w:rPr>
                <w:rFonts w:hint="eastAsia"/>
                <w:color w:val="000000"/>
                <w:sz w:val="24"/>
              </w:rPr>
              <w:t>月</w:t>
            </w:r>
            <w:r>
              <w:rPr>
                <w:rFonts w:hint="eastAsia"/>
                <w:color w:val="000000"/>
                <w:sz w:val="24"/>
                <w:lang w:val="en-US" w:eastAsia="zh-CN"/>
              </w:rPr>
              <w:t>30</w:t>
            </w:r>
            <w:r>
              <w:rPr>
                <w:rFonts w:hint="eastAsia"/>
                <w:color w:val="000000"/>
                <w:sz w:val="24"/>
              </w:rPr>
              <w:t>日通过</w:t>
            </w:r>
            <w:r>
              <w:rPr>
                <w:rFonts w:hint="eastAsia"/>
                <w:color w:val="000000"/>
                <w:sz w:val="24"/>
                <w:lang w:val="en-US" w:eastAsia="zh-CN"/>
              </w:rPr>
              <w:t>邳州市环境保护</w:t>
            </w:r>
            <w:r>
              <w:rPr>
                <w:rFonts w:hint="eastAsia"/>
                <w:color w:val="000000"/>
                <w:sz w:val="24"/>
              </w:rPr>
              <w:t>局（</w:t>
            </w:r>
            <w:r>
              <w:rPr>
                <w:rFonts w:hint="eastAsia"/>
                <w:color w:val="000000"/>
                <w:sz w:val="24"/>
                <w:lang w:val="en-US" w:eastAsia="zh-CN"/>
              </w:rPr>
              <w:t>邳</w:t>
            </w:r>
            <w:r>
              <w:rPr>
                <w:rFonts w:hint="eastAsia"/>
                <w:color w:val="000000"/>
                <w:sz w:val="24"/>
              </w:rPr>
              <w:t>环项表【20</w:t>
            </w:r>
            <w:r>
              <w:rPr>
                <w:rFonts w:hint="eastAsia"/>
                <w:color w:val="000000"/>
                <w:sz w:val="24"/>
                <w:lang w:val="en-US" w:eastAsia="zh-CN"/>
              </w:rPr>
              <w:t>19</w:t>
            </w:r>
            <w:r>
              <w:rPr>
                <w:rFonts w:hint="eastAsia"/>
                <w:color w:val="000000"/>
                <w:sz w:val="24"/>
              </w:rPr>
              <w:t>】</w:t>
            </w:r>
            <w:r>
              <w:rPr>
                <w:rFonts w:hint="eastAsia"/>
                <w:color w:val="000000"/>
                <w:sz w:val="24"/>
                <w:lang w:val="en-US" w:eastAsia="zh-CN"/>
              </w:rPr>
              <w:t>109</w:t>
            </w:r>
            <w:r>
              <w:rPr>
                <w:rFonts w:hint="eastAsia"/>
                <w:color w:val="000000"/>
                <w:sz w:val="24"/>
              </w:rPr>
              <w:t>号），</w:t>
            </w:r>
            <w:r>
              <w:rPr>
                <w:rFonts w:hint="eastAsia"/>
                <w:sz w:val="24"/>
              </w:rPr>
              <w:t>项目投资概算为</w:t>
            </w:r>
            <w:r>
              <w:rPr>
                <w:rFonts w:hint="eastAsia"/>
                <w:sz w:val="24"/>
                <w:lang w:val="en-US" w:eastAsia="zh-CN"/>
              </w:rPr>
              <w:t>62513</w:t>
            </w:r>
            <w:r>
              <w:rPr>
                <w:rFonts w:hint="eastAsia"/>
                <w:sz w:val="24"/>
              </w:rPr>
              <w:t>万元人民币，其中环保投资</w:t>
            </w:r>
            <w:r>
              <w:rPr>
                <w:rFonts w:hint="eastAsia"/>
                <w:sz w:val="24"/>
                <w:lang w:val="en-US" w:eastAsia="zh-CN"/>
              </w:rPr>
              <w:t>400</w:t>
            </w:r>
            <w:r>
              <w:rPr>
                <w:rFonts w:hint="eastAsia"/>
                <w:sz w:val="24"/>
              </w:rPr>
              <w:t>万人民币，占总投资比例为</w:t>
            </w:r>
            <w:r>
              <w:rPr>
                <w:rFonts w:hint="eastAsia"/>
                <w:sz w:val="24"/>
                <w:lang w:val="en-US" w:eastAsia="zh-CN"/>
              </w:rPr>
              <w:t>0.64</w:t>
            </w:r>
            <w:r>
              <w:rPr>
                <w:rFonts w:hint="eastAsia"/>
                <w:sz w:val="24"/>
              </w:rPr>
              <w:t>%；实际总投资</w:t>
            </w:r>
            <w:r>
              <w:rPr>
                <w:rFonts w:hint="eastAsia"/>
                <w:sz w:val="24"/>
                <w:lang w:val="en-US" w:eastAsia="zh-CN"/>
              </w:rPr>
              <w:t>62513</w:t>
            </w:r>
            <w:r>
              <w:rPr>
                <w:rFonts w:hint="eastAsia"/>
                <w:sz w:val="24"/>
              </w:rPr>
              <w:t>万元人民币，其中环保投资约</w:t>
            </w:r>
            <w:r>
              <w:rPr>
                <w:rFonts w:hint="eastAsia"/>
                <w:sz w:val="24"/>
                <w:lang w:val="en-US" w:eastAsia="zh-CN"/>
              </w:rPr>
              <w:t>400</w:t>
            </w:r>
            <w:r>
              <w:rPr>
                <w:rFonts w:hint="eastAsia"/>
                <w:sz w:val="24"/>
              </w:rPr>
              <w:t>万元，占总投资比例为</w:t>
            </w:r>
            <w:r>
              <w:rPr>
                <w:rFonts w:hint="eastAsia"/>
                <w:sz w:val="24"/>
                <w:lang w:val="en-US" w:eastAsia="zh-CN"/>
              </w:rPr>
              <w:t>0.64</w:t>
            </w:r>
            <w:r>
              <w:rPr>
                <w:rFonts w:hint="eastAsia"/>
                <w:sz w:val="24"/>
              </w:rPr>
              <w:t>%。</w:t>
            </w:r>
          </w:p>
          <w:p>
            <w:pPr>
              <w:spacing w:line="416" w:lineRule="auto"/>
              <w:ind w:firstLine="480" w:firstLineChars="200"/>
              <w:rPr>
                <w:color w:val="000000" w:themeColor="text1"/>
                <w:sz w:val="24"/>
              </w:rPr>
            </w:pPr>
            <w:r>
              <w:rPr>
                <w:rFonts w:hint="eastAsia"/>
                <w:color w:val="000000" w:themeColor="text1"/>
                <w:sz w:val="24"/>
              </w:rPr>
              <w:t>项目职工人数共</w:t>
            </w:r>
            <w:r>
              <w:rPr>
                <w:rFonts w:hint="eastAsia"/>
                <w:color w:val="000000" w:themeColor="text1"/>
                <w:sz w:val="24"/>
                <w:lang w:val="en-US" w:eastAsia="zh-CN"/>
              </w:rPr>
              <w:t>10</w:t>
            </w:r>
            <w:r>
              <w:rPr>
                <w:rFonts w:hint="eastAsia"/>
                <w:color w:val="000000" w:themeColor="text1"/>
                <w:sz w:val="24"/>
              </w:rPr>
              <w:t>人，全年工作约365天，</w:t>
            </w:r>
            <w:r>
              <w:rPr>
                <w:rFonts w:hint="eastAsia"/>
                <w:color w:val="000000" w:themeColor="text1"/>
                <w:sz w:val="24"/>
                <w:lang w:val="en-US" w:eastAsia="zh-CN"/>
              </w:rPr>
              <w:t>三班制</w:t>
            </w:r>
            <w:r>
              <w:rPr>
                <w:rFonts w:hint="eastAsia"/>
                <w:color w:val="000000" w:themeColor="text1"/>
                <w:sz w:val="24"/>
              </w:rPr>
              <w:t>，每班</w:t>
            </w:r>
            <w:r>
              <w:rPr>
                <w:rFonts w:hint="eastAsia"/>
                <w:color w:val="000000" w:themeColor="text1"/>
                <w:sz w:val="24"/>
                <w:lang w:val="en-US" w:eastAsia="zh-CN"/>
              </w:rPr>
              <w:t>8</w:t>
            </w:r>
            <w:r>
              <w:rPr>
                <w:rFonts w:hint="eastAsia"/>
                <w:color w:val="000000" w:themeColor="text1"/>
                <w:sz w:val="24"/>
              </w:rPr>
              <w:t>小时，年工作8760小时。</w:t>
            </w:r>
          </w:p>
          <w:p>
            <w:pPr>
              <w:spacing w:line="416" w:lineRule="auto"/>
              <w:ind w:firstLine="480" w:firstLineChars="200"/>
              <w:rPr>
                <w:sz w:val="24"/>
              </w:rPr>
            </w:pPr>
            <w:r>
              <w:rPr>
                <w:rFonts w:hint="eastAsia"/>
                <w:sz w:val="24"/>
              </w:rPr>
              <w:t>本项目产品方案见表4.1-1，能源消耗情况见表4.1-2，主要设备见表4.1-3，公辅工程见表4.1-4。</w:t>
            </w:r>
          </w:p>
          <w:p>
            <w:pPr>
              <w:jc w:val="center"/>
              <w:rPr>
                <w:sz w:val="24"/>
              </w:rPr>
            </w:pPr>
            <w:r>
              <w:rPr>
                <w:rFonts w:hint="eastAsia"/>
                <w:sz w:val="24"/>
              </w:rPr>
              <w:t>表4.1-1 项目产品方案表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291"/>
              <w:gridCol w:w="2380"/>
              <w:gridCol w:w="2028"/>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022" w:type="dxa"/>
                  <w:vAlign w:val="center"/>
                </w:tcPr>
                <w:p>
                  <w:pPr>
                    <w:jc w:val="center"/>
                    <w:rPr>
                      <w:sz w:val="24"/>
                      <w:szCs w:val="24"/>
                    </w:rPr>
                  </w:pPr>
                  <w:r>
                    <w:rPr>
                      <w:sz w:val="24"/>
                      <w:szCs w:val="24"/>
                    </w:rPr>
                    <w:t>主体工程</w:t>
                  </w:r>
                </w:p>
              </w:tc>
              <w:tc>
                <w:tcPr>
                  <w:tcW w:w="1291" w:type="dxa"/>
                  <w:vAlign w:val="center"/>
                </w:tcPr>
                <w:p>
                  <w:pPr>
                    <w:jc w:val="center"/>
                    <w:rPr>
                      <w:sz w:val="24"/>
                      <w:szCs w:val="24"/>
                    </w:rPr>
                  </w:pPr>
                  <w:r>
                    <w:rPr>
                      <w:sz w:val="24"/>
                      <w:szCs w:val="24"/>
                    </w:rPr>
                    <w:t>产品名称</w:t>
                  </w:r>
                </w:p>
              </w:tc>
              <w:tc>
                <w:tcPr>
                  <w:tcW w:w="2380" w:type="dxa"/>
                  <w:vAlign w:val="center"/>
                </w:tcPr>
                <w:p>
                  <w:pPr>
                    <w:jc w:val="center"/>
                    <w:rPr>
                      <w:sz w:val="24"/>
                      <w:szCs w:val="24"/>
                    </w:rPr>
                  </w:pPr>
                  <w:r>
                    <w:rPr>
                      <w:sz w:val="24"/>
                      <w:szCs w:val="24"/>
                    </w:rPr>
                    <w:t>设计能力</w:t>
                  </w:r>
                </w:p>
              </w:tc>
              <w:tc>
                <w:tcPr>
                  <w:tcW w:w="2028" w:type="dxa"/>
                  <w:vAlign w:val="center"/>
                </w:tcPr>
                <w:p>
                  <w:pPr>
                    <w:jc w:val="center"/>
                    <w:rPr>
                      <w:sz w:val="24"/>
                      <w:szCs w:val="24"/>
                    </w:rPr>
                  </w:pPr>
                  <w:r>
                    <w:rPr>
                      <w:rFonts w:hint="eastAsia"/>
                      <w:sz w:val="24"/>
                      <w:szCs w:val="24"/>
                    </w:rPr>
                    <w:t>实际能力</w:t>
                  </w:r>
                </w:p>
              </w:tc>
              <w:tc>
                <w:tcPr>
                  <w:tcW w:w="1917" w:type="dxa"/>
                  <w:vAlign w:val="center"/>
                </w:tcPr>
                <w:p>
                  <w:pPr>
                    <w:jc w:val="center"/>
                    <w:rPr>
                      <w:sz w:val="24"/>
                      <w:szCs w:val="24"/>
                    </w:rPr>
                  </w:pPr>
                  <w:r>
                    <w:rPr>
                      <w:sz w:val="24"/>
                      <w:szCs w:val="24"/>
                    </w:rPr>
                    <w:t>年运行时数（h）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022" w:type="dxa"/>
                  <w:vAlign w:val="center"/>
                </w:tcPr>
                <w:p>
                  <w:pPr>
                    <w:jc w:val="center"/>
                    <w:rPr>
                      <w:rFonts w:hint="default" w:eastAsia="宋体"/>
                      <w:sz w:val="24"/>
                      <w:szCs w:val="24"/>
                      <w:lang w:val="en-US" w:eastAsia="zh-CN"/>
                    </w:rPr>
                  </w:pPr>
                  <w:r>
                    <w:rPr>
                      <w:rFonts w:hint="eastAsia"/>
                      <w:sz w:val="24"/>
                      <w:szCs w:val="24"/>
                      <w:lang w:val="en-US" w:eastAsia="zh-CN"/>
                    </w:rPr>
                    <w:t>邳州市车辐山戴庄风电场项目</w:t>
                  </w:r>
                </w:p>
              </w:tc>
              <w:tc>
                <w:tcPr>
                  <w:tcW w:w="1291" w:type="dxa"/>
                  <w:vAlign w:val="center"/>
                </w:tcPr>
                <w:p>
                  <w:pPr>
                    <w:jc w:val="center"/>
                    <w:rPr>
                      <w:sz w:val="24"/>
                      <w:szCs w:val="24"/>
                    </w:rPr>
                  </w:pPr>
                  <w:r>
                    <w:rPr>
                      <w:rFonts w:hint="eastAsia"/>
                      <w:sz w:val="24"/>
                      <w:szCs w:val="24"/>
                    </w:rPr>
                    <w:t>电</w:t>
                  </w:r>
                </w:p>
              </w:tc>
              <w:tc>
                <w:tcPr>
                  <w:tcW w:w="2380" w:type="dxa"/>
                  <w:vAlign w:val="center"/>
                </w:tcPr>
                <w:p>
                  <w:pPr>
                    <w:jc w:val="center"/>
                    <w:rPr>
                      <w:color w:val="auto"/>
                      <w:spacing w:val="8"/>
                      <w:sz w:val="24"/>
                      <w:szCs w:val="24"/>
                    </w:rPr>
                  </w:pPr>
                  <w:r>
                    <w:rPr>
                      <w:rFonts w:hint="eastAsia"/>
                      <w:color w:val="auto"/>
                      <w:spacing w:val="8"/>
                      <w:sz w:val="24"/>
                      <w:szCs w:val="24"/>
                    </w:rPr>
                    <w:t>安装35台单机容量2.5MW，总装机容量为87.5MW</w:t>
                  </w:r>
                </w:p>
              </w:tc>
              <w:tc>
                <w:tcPr>
                  <w:tcW w:w="2028" w:type="dxa"/>
                  <w:vAlign w:val="center"/>
                </w:tcPr>
                <w:p>
                  <w:pPr>
                    <w:jc w:val="center"/>
                    <w:rPr>
                      <w:color w:val="auto"/>
                      <w:spacing w:val="8"/>
                      <w:sz w:val="24"/>
                      <w:szCs w:val="24"/>
                    </w:rPr>
                  </w:pPr>
                  <w:r>
                    <w:rPr>
                      <w:rFonts w:hint="eastAsia"/>
                      <w:color w:val="auto"/>
                      <w:spacing w:val="8"/>
                      <w:sz w:val="24"/>
                      <w:szCs w:val="24"/>
                    </w:rPr>
                    <w:t>安装35台单机容量2.5MW，总装机容量为87.5MW</w:t>
                  </w:r>
                </w:p>
              </w:tc>
              <w:tc>
                <w:tcPr>
                  <w:tcW w:w="1917" w:type="dxa"/>
                  <w:vAlign w:val="center"/>
                </w:tcPr>
                <w:p>
                  <w:pPr>
                    <w:jc w:val="center"/>
                    <w:rPr>
                      <w:spacing w:val="8"/>
                      <w:sz w:val="24"/>
                      <w:szCs w:val="24"/>
                    </w:rPr>
                  </w:pPr>
                  <w:r>
                    <w:rPr>
                      <w:rFonts w:hint="eastAsia"/>
                      <w:spacing w:val="8"/>
                      <w:sz w:val="24"/>
                      <w:szCs w:val="24"/>
                    </w:rPr>
                    <w:t>8760</w:t>
                  </w:r>
                </w:p>
              </w:tc>
            </w:tr>
          </w:tbl>
          <w:p>
            <w:pPr>
              <w:jc w:val="center"/>
              <w:rPr>
                <w:sz w:val="24"/>
              </w:rPr>
            </w:pPr>
            <w:r>
              <w:rPr>
                <w:rFonts w:hint="eastAsia"/>
                <w:sz w:val="24"/>
              </w:rPr>
              <w:t>表4.1-2 项目能源消耗情况表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3580"/>
              <w:gridCol w:w="3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77" w:type="pct"/>
                  <w:vAlign w:val="center"/>
                </w:tcPr>
                <w:p>
                  <w:pPr>
                    <w:jc w:val="center"/>
                    <w:rPr>
                      <w:sz w:val="24"/>
                      <w:szCs w:val="24"/>
                    </w:rPr>
                  </w:pPr>
                  <w:r>
                    <w:rPr>
                      <w:sz w:val="24"/>
                      <w:szCs w:val="24"/>
                    </w:rPr>
                    <w:t>名称</w:t>
                  </w:r>
                </w:p>
              </w:tc>
              <w:tc>
                <w:tcPr>
                  <w:tcW w:w="1857" w:type="pct"/>
                  <w:vAlign w:val="center"/>
                </w:tcPr>
                <w:p>
                  <w:pPr>
                    <w:jc w:val="center"/>
                    <w:rPr>
                      <w:sz w:val="24"/>
                      <w:szCs w:val="24"/>
                    </w:rPr>
                  </w:pPr>
                  <w:r>
                    <w:rPr>
                      <w:sz w:val="24"/>
                      <w:szCs w:val="24"/>
                    </w:rPr>
                    <w:t>环评消耗量</w:t>
                  </w:r>
                </w:p>
              </w:tc>
              <w:tc>
                <w:tcPr>
                  <w:tcW w:w="1666" w:type="pct"/>
                  <w:vAlign w:val="center"/>
                </w:tcPr>
                <w:p>
                  <w:pPr>
                    <w:jc w:val="center"/>
                    <w:rPr>
                      <w:sz w:val="24"/>
                      <w:szCs w:val="24"/>
                    </w:rPr>
                  </w:pPr>
                  <w:r>
                    <w:rPr>
                      <w:rFonts w:hint="eastAsia"/>
                      <w:sz w:val="24"/>
                      <w:szCs w:val="24"/>
                    </w:rPr>
                    <w:t>调试期间消耗量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477" w:type="pct"/>
                  <w:vAlign w:val="center"/>
                </w:tcPr>
                <w:p>
                  <w:pPr>
                    <w:jc w:val="center"/>
                    <w:rPr>
                      <w:sz w:val="24"/>
                      <w:szCs w:val="24"/>
                    </w:rPr>
                  </w:pPr>
                  <w:r>
                    <w:rPr>
                      <w:sz w:val="24"/>
                      <w:szCs w:val="24"/>
                    </w:rPr>
                    <w:t>水（吨/年）</w:t>
                  </w:r>
                </w:p>
              </w:tc>
              <w:tc>
                <w:tcPr>
                  <w:tcW w:w="1857" w:type="pct"/>
                  <w:vAlign w:val="center"/>
                </w:tcPr>
                <w:p>
                  <w:pPr>
                    <w:jc w:val="center"/>
                    <w:rPr>
                      <w:rFonts w:hint="default" w:eastAsia="宋体"/>
                      <w:sz w:val="24"/>
                      <w:szCs w:val="24"/>
                      <w:lang w:val="en-US" w:eastAsia="zh-CN"/>
                    </w:rPr>
                  </w:pPr>
                  <w:r>
                    <w:rPr>
                      <w:rFonts w:hint="eastAsia"/>
                      <w:sz w:val="24"/>
                      <w:szCs w:val="24"/>
                      <w:lang w:val="en-US" w:eastAsia="zh-CN"/>
                    </w:rPr>
                    <w:t>232</w:t>
                  </w:r>
                </w:p>
              </w:tc>
              <w:tc>
                <w:tcPr>
                  <w:tcW w:w="1666" w:type="pct"/>
                  <w:vAlign w:val="center"/>
                </w:tcPr>
                <w:p>
                  <w:pPr>
                    <w:jc w:val="center"/>
                    <w:rPr>
                      <w:sz w:val="24"/>
                      <w:szCs w:val="24"/>
                      <w:highlight w:val="yellow"/>
                    </w:rPr>
                  </w:pPr>
                  <w:r>
                    <w:rPr>
                      <w:rFonts w:hint="eastAsia"/>
                      <w:sz w:val="24"/>
                      <w:szCs w:val="24"/>
                      <w:lang w:val="en-US" w:eastAsia="zh-CN"/>
                    </w:rPr>
                    <w:t>19.3t</w:t>
                  </w:r>
                  <w:r>
                    <w:rPr>
                      <w:rFonts w:hint="eastAsia"/>
                      <w:sz w:val="24"/>
                      <w:szCs w:val="24"/>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477" w:type="pct"/>
                  <w:vAlign w:val="center"/>
                </w:tcPr>
                <w:p>
                  <w:pPr>
                    <w:jc w:val="center"/>
                    <w:rPr>
                      <w:sz w:val="24"/>
                      <w:szCs w:val="24"/>
                    </w:rPr>
                  </w:pPr>
                  <w:r>
                    <w:rPr>
                      <w:sz w:val="24"/>
                      <w:szCs w:val="24"/>
                    </w:rPr>
                    <w:t>电（千瓦时/年）</w:t>
                  </w:r>
                </w:p>
              </w:tc>
              <w:tc>
                <w:tcPr>
                  <w:tcW w:w="1857" w:type="pct"/>
                  <w:vAlign w:val="center"/>
                </w:tcPr>
                <w:p>
                  <w:pPr>
                    <w:jc w:val="center"/>
                    <w:rPr>
                      <w:sz w:val="24"/>
                      <w:szCs w:val="24"/>
                    </w:rPr>
                  </w:pPr>
                  <w:r>
                    <w:rPr>
                      <w:rFonts w:hint="eastAsia"/>
                      <w:sz w:val="24"/>
                      <w:szCs w:val="24"/>
                      <w:lang w:val="en-US" w:eastAsia="zh-CN"/>
                    </w:rPr>
                    <w:t>19.95</w:t>
                  </w:r>
                  <w:r>
                    <w:rPr>
                      <w:rFonts w:hint="eastAsia"/>
                      <w:sz w:val="24"/>
                      <w:szCs w:val="24"/>
                    </w:rPr>
                    <w:t>万</w:t>
                  </w:r>
                </w:p>
              </w:tc>
              <w:tc>
                <w:tcPr>
                  <w:tcW w:w="1666" w:type="pct"/>
                  <w:vAlign w:val="center"/>
                </w:tcPr>
                <w:p>
                  <w:pPr>
                    <w:jc w:val="center"/>
                    <w:rPr>
                      <w:sz w:val="24"/>
                      <w:szCs w:val="24"/>
                      <w:highlight w:val="yellow"/>
                    </w:rPr>
                  </w:pPr>
                  <w:r>
                    <w:rPr>
                      <w:rFonts w:hint="eastAsia"/>
                      <w:sz w:val="24"/>
                      <w:szCs w:val="24"/>
                      <w:lang w:val="en-US" w:eastAsia="zh-CN"/>
                    </w:rPr>
                    <w:t>1.6</w:t>
                  </w:r>
                  <w:r>
                    <w:rPr>
                      <w:rFonts w:hint="eastAsia"/>
                      <w:sz w:val="24"/>
                      <w:szCs w:val="24"/>
                    </w:rPr>
                    <w:t>万</w:t>
                  </w:r>
                  <w:r>
                    <w:rPr>
                      <w:sz w:val="24"/>
                      <w:szCs w:val="24"/>
                    </w:rPr>
                    <w:t>千瓦时/</w:t>
                  </w:r>
                  <w:r>
                    <w:rPr>
                      <w:rFonts w:hint="eastAsia"/>
                      <w:sz w:val="24"/>
                      <w:szCs w:val="24"/>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77" w:type="pct"/>
                  <w:vAlign w:val="center"/>
                </w:tcPr>
                <w:p>
                  <w:pPr>
                    <w:jc w:val="center"/>
                    <w:rPr>
                      <w:sz w:val="24"/>
                      <w:szCs w:val="24"/>
                    </w:rPr>
                  </w:pPr>
                  <w:r>
                    <w:rPr>
                      <w:sz w:val="24"/>
                      <w:szCs w:val="24"/>
                    </w:rPr>
                    <w:t>燃气（标立方米/年）</w:t>
                  </w:r>
                </w:p>
              </w:tc>
              <w:tc>
                <w:tcPr>
                  <w:tcW w:w="1857" w:type="pct"/>
                  <w:vAlign w:val="center"/>
                </w:tcPr>
                <w:p>
                  <w:pPr>
                    <w:jc w:val="center"/>
                    <w:rPr>
                      <w:sz w:val="24"/>
                      <w:szCs w:val="24"/>
                    </w:rPr>
                  </w:pPr>
                  <w:r>
                    <w:rPr>
                      <w:rFonts w:hint="eastAsia"/>
                      <w:sz w:val="24"/>
                      <w:szCs w:val="24"/>
                    </w:rPr>
                    <w:t>/</w:t>
                  </w:r>
                </w:p>
              </w:tc>
              <w:tc>
                <w:tcPr>
                  <w:tcW w:w="1666" w:type="pct"/>
                  <w:vAlign w:val="center"/>
                </w:tcPr>
                <w:p>
                  <w:pPr>
                    <w:jc w:val="center"/>
                    <w:rPr>
                      <w:sz w:val="24"/>
                      <w:szCs w:val="24"/>
                    </w:rPr>
                  </w:pPr>
                  <w:r>
                    <w:rPr>
                      <w:rFonts w:hint="eastAsia"/>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77" w:type="pct"/>
                  <w:vAlign w:val="center"/>
                </w:tcPr>
                <w:p>
                  <w:pPr>
                    <w:jc w:val="center"/>
                    <w:rPr>
                      <w:sz w:val="24"/>
                      <w:szCs w:val="24"/>
                    </w:rPr>
                  </w:pPr>
                  <w:r>
                    <w:rPr>
                      <w:sz w:val="24"/>
                      <w:szCs w:val="24"/>
                    </w:rPr>
                    <w:t>燃油（吨/年）</w:t>
                  </w:r>
                </w:p>
              </w:tc>
              <w:tc>
                <w:tcPr>
                  <w:tcW w:w="1857" w:type="pct"/>
                  <w:vAlign w:val="center"/>
                </w:tcPr>
                <w:p>
                  <w:pPr>
                    <w:jc w:val="center"/>
                    <w:rPr>
                      <w:sz w:val="24"/>
                      <w:szCs w:val="24"/>
                    </w:rPr>
                  </w:pPr>
                  <w:r>
                    <w:rPr>
                      <w:rFonts w:hint="eastAsia"/>
                      <w:sz w:val="24"/>
                      <w:szCs w:val="24"/>
                    </w:rPr>
                    <w:t>/</w:t>
                  </w:r>
                </w:p>
              </w:tc>
              <w:tc>
                <w:tcPr>
                  <w:tcW w:w="1666" w:type="pct"/>
                  <w:vAlign w:val="center"/>
                </w:tcPr>
                <w:p>
                  <w:pPr>
                    <w:jc w:val="center"/>
                    <w:rPr>
                      <w:sz w:val="24"/>
                      <w:szCs w:val="24"/>
                    </w:rPr>
                  </w:pPr>
                  <w:r>
                    <w:rPr>
                      <w:rFonts w:hint="eastAsia"/>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477" w:type="pct"/>
                  <w:vAlign w:val="center"/>
                </w:tcPr>
                <w:p>
                  <w:pPr>
                    <w:jc w:val="center"/>
                    <w:rPr>
                      <w:sz w:val="24"/>
                      <w:szCs w:val="24"/>
                    </w:rPr>
                  </w:pPr>
                  <w:r>
                    <w:rPr>
                      <w:sz w:val="24"/>
                      <w:szCs w:val="24"/>
                    </w:rPr>
                    <w:t>燃煤（吨/年）</w:t>
                  </w:r>
                </w:p>
              </w:tc>
              <w:tc>
                <w:tcPr>
                  <w:tcW w:w="1857" w:type="pct"/>
                  <w:vAlign w:val="center"/>
                </w:tcPr>
                <w:p>
                  <w:pPr>
                    <w:jc w:val="center"/>
                    <w:rPr>
                      <w:sz w:val="24"/>
                      <w:szCs w:val="24"/>
                    </w:rPr>
                  </w:pPr>
                  <w:r>
                    <w:rPr>
                      <w:rFonts w:hint="eastAsia"/>
                      <w:sz w:val="24"/>
                      <w:szCs w:val="24"/>
                    </w:rPr>
                    <w:t>/</w:t>
                  </w:r>
                </w:p>
              </w:tc>
              <w:tc>
                <w:tcPr>
                  <w:tcW w:w="1666" w:type="pct"/>
                  <w:vAlign w:val="center"/>
                </w:tcPr>
                <w:p>
                  <w:pPr>
                    <w:jc w:val="center"/>
                    <w:rPr>
                      <w:sz w:val="24"/>
                      <w:szCs w:val="24"/>
                    </w:rPr>
                  </w:pPr>
                  <w:r>
                    <w:rPr>
                      <w:rFonts w:hint="eastAsia"/>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77" w:type="pct"/>
                  <w:vAlign w:val="center"/>
                </w:tcPr>
                <w:p>
                  <w:pPr>
                    <w:jc w:val="center"/>
                    <w:rPr>
                      <w:sz w:val="24"/>
                      <w:szCs w:val="24"/>
                    </w:rPr>
                  </w:pPr>
                  <w:r>
                    <w:rPr>
                      <w:sz w:val="24"/>
                      <w:szCs w:val="24"/>
                    </w:rPr>
                    <w:t>其它</w:t>
                  </w:r>
                </w:p>
              </w:tc>
              <w:tc>
                <w:tcPr>
                  <w:tcW w:w="1857" w:type="pct"/>
                  <w:vAlign w:val="center"/>
                </w:tcPr>
                <w:p>
                  <w:pPr>
                    <w:jc w:val="center"/>
                    <w:rPr>
                      <w:sz w:val="24"/>
                      <w:szCs w:val="24"/>
                    </w:rPr>
                  </w:pPr>
                  <w:r>
                    <w:rPr>
                      <w:rFonts w:hint="eastAsia"/>
                      <w:sz w:val="24"/>
                      <w:szCs w:val="24"/>
                    </w:rPr>
                    <w:t>/</w:t>
                  </w:r>
                </w:p>
              </w:tc>
              <w:tc>
                <w:tcPr>
                  <w:tcW w:w="1666" w:type="pct"/>
                  <w:vAlign w:val="center"/>
                </w:tcPr>
                <w:p>
                  <w:pPr>
                    <w:jc w:val="center"/>
                    <w:rPr>
                      <w:sz w:val="24"/>
                      <w:szCs w:val="24"/>
                    </w:rPr>
                  </w:pPr>
                  <w:r>
                    <w:rPr>
                      <w:rFonts w:hint="eastAsia"/>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77" w:type="pct"/>
                  <w:vAlign w:val="center"/>
                </w:tcPr>
                <w:p>
                  <w:pPr>
                    <w:jc w:val="center"/>
                    <w:rPr>
                      <w:sz w:val="24"/>
                      <w:szCs w:val="24"/>
                    </w:rPr>
                  </w:pPr>
                  <w:r>
                    <w:rPr>
                      <w:sz w:val="24"/>
                      <w:szCs w:val="24"/>
                    </w:rPr>
                    <w:t>备注</w:t>
                  </w:r>
                </w:p>
              </w:tc>
              <w:tc>
                <w:tcPr>
                  <w:tcW w:w="3523" w:type="pct"/>
                  <w:gridSpan w:val="2"/>
                  <w:vAlign w:val="center"/>
                </w:tcPr>
                <w:p>
                  <w:pPr>
                    <w:jc w:val="center"/>
                    <w:rPr>
                      <w:sz w:val="24"/>
                      <w:szCs w:val="24"/>
                    </w:rPr>
                  </w:pPr>
                  <w:r>
                    <w:rPr>
                      <w:rFonts w:hint="eastAsia"/>
                      <w:sz w:val="24"/>
                      <w:szCs w:val="24"/>
                    </w:rPr>
                    <w:t>/</w:t>
                  </w:r>
                </w:p>
              </w:tc>
            </w:tr>
          </w:tbl>
          <w:p>
            <w:pPr>
              <w:jc w:val="center"/>
              <w:rPr>
                <w:rFonts w:hint="default" w:eastAsia="宋体"/>
                <w:sz w:val="24"/>
                <w:lang w:val="en-US" w:eastAsia="zh-CN"/>
              </w:rPr>
            </w:pPr>
            <w:r>
              <w:rPr>
                <w:rFonts w:hint="eastAsia"/>
                <w:sz w:val="24"/>
                <w:lang w:val="en-US" w:eastAsia="zh-CN"/>
              </w:rPr>
              <w:t>表4.1-3 项目运营期主要设备一览表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9"/>
              <w:gridCol w:w="3060"/>
              <w:gridCol w:w="2878"/>
              <w:gridCol w:w="1022"/>
              <w:gridCol w:w="772"/>
              <w:gridCol w:w="704"/>
              <w:gridCol w:w="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01"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序号</w:t>
                  </w:r>
                </w:p>
              </w:tc>
              <w:tc>
                <w:tcPr>
                  <w:tcW w:w="2785"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bCs/>
                      <w:sz w:val="24"/>
                      <w:szCs w:val="24"/>
                    </w:rPr>
                  </w:pPr>
                  <w:r>
                    <w:rPr>
                      <w:b/>
                      <w:bCs/>
                      <w:sz w:val="24"/>
                      <w:szCs w:val="24"/>
                    </w:rPr>
                    <w:t>名称</w:t>
                  </w:r>
                </w:p>
              </w:tc>
              <w:tc>
                <w:tcPr>
                  <w:tcW w:w="2620"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bCs/>
                      <w:sz w:val="24"/>
                      <w:szCs w:val="24"/>
                    </w:rPr>
                  </w:pPr>
                  <w:r>
                    <w:rPr>
                      <w:b/>
                      <w:kern w:val="0"/>
                      <w:sz w:val="24"/>
                      <w:szCs w:val="24"/>
                    </w:rPr>
                    <w:t>规格型号</w:t>
                  </w:r>
                </w:p>
              </w:tc>
              <w:tc>
                <w:tcPr>
                  <w:tcW w:w="93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bCs/>
                      <w:sz w:val="24"/>
                      <w:szCs w:val="24"/>
                    </w:rPr>
                  </w:pPr>
                  <w:r>
                    <w:rPr>
                      <w:b/>
                      <w:kern w:val="0"/>
                      <w:sz w:val="24"/>
                      <w:szCs w:val="24"/>
                    </w:rPr>
                    <w:t>单位</w:t>
                  </w:r>
                </w:p>
              </w:tc>
              <w:tc>
                <w:tcPr>
                  <w:tcW w:w="703"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b/>
                      <w:bCs/>
                      <w:sz w:val="24"/>
                      <w:szCs w:val="24"/>
                    </w:rPr>
                  </w:pPr>
                  <w:r>
                    <w:rPr>
                      <w:rFonts w:hint="eastAsia"/>
                      <w:b/>
                      <w:kern w:val="0"/>
                      <w:sz w:val="24"/>
                      <w:szCs w:val="24"/>
                      <w:lang w:val="en-US" w:eastAsia="zh-CN"/>
                    </w:rPr>
                    <w:t>环评</w:t>
                  </w:r>
                  <w:r>
                    <w:rPr>
                      <w:b/>
                      <w:kern w:val="0"/>
                      <w:sz w:val="24"/>
                      <w:szCs w:val="24"/>
                    </w:rPr>
                    <w:t>数量</w:t>
                  </w:r>
                </w:p>
              </w:tc>
              <w:tc>
                <w:tcPr>
                  <w:tcW w:w="641"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b/>
                      <w:kern w:val="0"/>
                      <w:sz w:val="24"/>
                      <w:szCs w:val="24"/>
                      <w:lang w:val="en-US" w:eastAsia="zh-CN"/>
                    </w:rPr>
                  </w:pPr>
                  <w:r>
                    <w:rPr>
                      <w:rFonts w:hint="eastAsia"/>
                      <w:b/>
                      <w:kern w:val="0"/>
                      <w:sz w:val="24"/>
                      <w:szCs w:val="24"/>
                      <w:lang w:val="en-US" w:eastAsia="zh-CN"/>
                    </w:rPr>
                    <w:t>验收数量</w:t>
                  </w:r>
                </w:p>
              </w:tc>
              <w:tc>
                <w:tcPr>
                  <w:tcW w:w="594"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b/>
                      <w:kern w:val="0"/>
                      <w:sz w:val="24"/>
                      <w:szCs w:val="24"/>
                      <w:lang w:val="en-US" w:eastAsia="zh-CN"/>
                    </w:rPr>
                  </w:pPr>
                  <w:r>
                    <w:rPr>
                      <w:rFonts w:hint="eastAsia"/>
                      <w:b/>
                      <w:kern w:val="0"/>
                      <w:sz w:val="24"/>
                      <w:szCs w:val="24"/>
                      <w:lang w:val="en-US" w:eastAsia="zh-CN"/>
                    </w:rPr>
                    <w:t>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539" w:type="dxa"/>
                  <w:gridSpan w:val="5"/>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pacing w:val="-16"/>
                      <w:kern w:val="0"/>
                      <w:sz w:val="24"/>
                      <w:szCs w:val="24"/>
                    </w:rPr>
                  </w:pPr>
                  <w:r>
                    <w:rPr>
                      <w:spacing w:val="-16"/>
                      <w:kern w:val="0"/>
                      <w:sz w:val="24"/>
                      <w:szCs w:val="24"/>
                    </w:rPr>
                    <w:t>电气一次主要设备</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pacing w:val="-16"/>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pacing w:val="-16"/>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一</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发电机组</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风电机组</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WTG1-141/2.5，2.5MW，轮毂高度 140m</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kern w:val="0"/>
                      <w:sz w:val="24"/>
                      <w:szCs w:val="24"/>
                      <w:lang w:val="en-US" w:eastAsia="zh-CN"/>
                    </w:rPr>
                  </w:pPr>
                  <w:r>
                    <w:rPr>
                      <w:rFonts w:hint="eastAsia"/>
                      <w:kern w:val="0"/>
                      <w:sz w:val="24"/>
                      <w:szCs w:val="24"/>
                      <w:lang w:val="en-US" w:eastAsia="zh-CN"/>
                    </w:rPr>
                    <w:t>33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二</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主变压器系统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主变压器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SFZ10-100MVA/230kV 台</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中性点组合电器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MT-ZJB</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钢芯铝绞线</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LGJ-240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t</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耐张绝缘子</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17（XWP6-100）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三</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110KV 屋外配电装置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SF6 断路器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LW-25</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隔离开关</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4"/>
                      <w:szCs w:val="24"/>
                    </w:rPr>
                  </w:pPr>
                  <w:r>
                    <w:rPr>
                      <w:sz w:val="24"/>
                      <w:szCs w:val="24"/>
                    </w:rPr>
                    <w:t>GW7-252</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电容式电压互感器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4"/>
                      <w:szCs w:val="24"/>
                    </w:rPr>
                  </w:pPr>
                  <w:r>
                    <w:rPr>
                      <w:sz w:val="24"/>
                      <w:szCs w:val="24"/>
                    </w:rPr>
                    <w:t>LVB-110W</w:t>
                  </w:r>
                  <w:r>
                    <w:rPr>
                      <w:sz w:val="24"/>
                      <w:szCs w:val="24"/>
                      <w:vertAlign w:val="subscript"/>
                    </w:rPr>
                    <w:t>2</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避雷器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z w:val="24"/>
                      <w:szCs w:val="24"/>
                    </w:rPr>
                  </w:pPr>
                  <w:r>
                    <w:rPr>
                      <w:sz w:val="24"/>
                      <w:szCs w:val="24"/>
                    </w:rPr>
                    <w:t>TYD-110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开关站动力箱</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Y10W-200/520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钢芯铝绞线</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JBW</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r>
                    <w:rPr>
                      <w:rFonts w:hint="eastAsia"/>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r>
                    <w:rPr>
                      <w:rFonts w:hint="eastAsia"/>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钢芯铝绞线</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LGJ-400/27.7</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t</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rFonts w:hint="eastAsia"/>
                      <w:kern w:val="0"/>
                      <w:sz w:val="24"/>
                      <w:szCs w:val="24"/>
                    </w:rPr>
                    <w:t>0.4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r>
                    <w:rPr>
                      <w:rFonts w:hint="eastAsia"/>
                      <w:kern w:val="0"/>
                      <w:sz w:val="24"/>
                      <w:szCs w:val="24"/>
                    </w:rPr>
                    <w:t>0.4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耐张绝缘子</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17（XWP6-100）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rFonts w:hint="eastAsia"/>
                      <w:kern w:val="0"/>
                      <w:sz w:val="24"/>
                      <w:szCs w:val="24"/>
                    </w:rPr>
                    <w:t>204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r>
                    <w:rPr>
                      <w:rFonts w:hint="eastAsia"/>
                      <w:kern w:val="0"/>
                      <w:sz w:val="24"/>
                      <w:szCs w:val="24"/>
                    </w:rPr>
                    <w:t>204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四</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35kv配电装置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高压开关柜</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KYN61-40.5 进线</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高压开关柜</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KYN61-40.5 出线</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高压开关柜</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KYN61-40.5 所用变</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高压开关柜</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KYN61-40.5 PT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高压开关柜</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KYN61-40.5 电容器</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户外封闭共箱母线</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2500A</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动力箱</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JBW</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YJV33-3×24</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米</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400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400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9</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35kv电力电缆户外电缆终端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YJV33-3×240 电缆</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35kv电力电缆户内电缆终端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YJV33-3×240 电缆</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10kv电力电缆户内电缆终端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ZR-YJV22-8.7/15-3×50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10kv电力电缆户内电缆终端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ZR-YJV22-8.7/15-3×50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五</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站用电系统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所用接地变压器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DKSC-400/37-200/0.4</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所用变压器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SC9-25</w:t>
                  </w:r>
                  <w:r>
                    <w:rPr>
                      <w:kern w:val="0"/>
                      <w:sz w:val="24"/>
                      <w:szCs w:val="24"/>
                    </w:rPr>
                    <w:cr/>
                  </w:r>
                  <w:r>
                    <w:rPr>
                      <w:kern w:val="0"/>
                      <w:sz w:val="24"/>
                      <w:szCs w:val="24"/>
                    </w:rPr>
                    <w:t>/10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低压配电屏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GCS</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接地小电阻接地小电阻</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Ir=100A，R=202±5%欧</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ZR-YJV22-8.7/15-3×50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240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240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10kv电力电缆电缆户内终端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ZR-YJV22-8.7/15-3×50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10kv电力电缆电缆户内终端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ZR-YJV22-8.7/15-3×50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ZR-YJV22-26/35-3×50</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9</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35kv电力电缆电缆户内终端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配 YJV33-3×50 电缆</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ZR-VV-1-4×6+1×4</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w:t>
                  </w:r>
                </w:p>
              </w:tc>
              <w:tc>
                <w:tcPr>
                  <w:tcW w:w="2785"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4"/>
                      <w:szCs w:val="24"/>
                    </w:rPr>
                  </w:pPr>
                  <w:r>
                    <w:rPr>
                      <w:kern w:val="0"/>
                      <w:sz w:val="24"/>
                      <w:szCs w:val="24"/>
                    </w:rPr>
                    <w:t>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ZR-VV-1-4×10+1×6</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12</w:t>
                  </w:r>
                </w:p>
              </w:tc>
              <w:tc>
                <w:tcPr>
                  <w:tcW w:w="2785" w:type="dxa"/>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4"/>
                      <w:szCs w:val="24"/>
                    </w:rPr>
                  </w:pPr>
                  <w:r>
                    <w:rPr>
                      <w:kern w:val="0"/>
                      <w:sz w:val="24"/>
                      <w:szCs w:val="24"/>
                    </w:rPr>
                    <w:t>电力电缆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ZR-VV-1-4×25+1×16</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防雷接地</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六</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镀锌扁钢</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60×8</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接地铜排</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30×4</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铜辫</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δ≥120m</w:t>
                  </w:r>
                  <w:r>
                    <w:rPr>
                      <w:kern w:val="0"/>
                      <w:sz w:val="24"/>
                      <w:szCs w:val="24"/>
                      <w:vertAlign w:val="superscript"/>
                    </w:rPr>
                    <w:t>2</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m</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240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240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钢管接地极</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F60 b=2.5</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t</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物理降阻剂</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t</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独立避雷针</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30m</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接地处理费</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项</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39" w:type="dxa"/>
                  <w:gridSpan w:val="5"/>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spacing w:val="-16"/>
                      <w:kern w:val="0"/>
                      <w:sz w:val="24"/>
                      <w:szCs w:val="24"/>
                    </w:rPr>
                  </w:pPr>
                  <w:r>
                    <w:rPr>
                      <w:rFonts w:hint="eastAsia"/>
                      <w:color w:val="0070C0"/>
                      <w:spacing w:val="-16"/>
                      <w:kern w:val="0"/>
                      <w:sz w:val="24"/>
                      <w:szCs w:val="24"/>
                      <w:lang w:val="en-US" w:eastAsia="zh-CN"/>
                    </w:rPr>
                    <w:t xml:space="preserve">        </w:t>
                  </w:r>
                  <w:r>
                    <w:rPr>
                      <w:color w:val="0070C0"/>
                      <w:spacing w:val="-16"/>
                      <w:kern w:val="0"/>
                      <w:sz w:val="24"/>
                      <w:szCs w:val="24"/>
                    </w:rPr>
                    <w:t>电气二次主要设备（含升压站中配套设备及进站线路等）</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70C0"/>
                      <w:spacing w:val="-16"/>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70C0"/>
                      <w:spacing w:val="-16"/>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一</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变电站监控系统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监控主机</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工程师工作站</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远动通信屏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打印机</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变电站监控软件</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工作台</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微机防误闭锁装置</w:t>
                  </w:r>
                  <w:r>
                    <w:rPr>
                      <w:rFonts w:hint="eastAsia"/>
                      <w:kern w:val="0"/>
                      <w:sz w:val="24"/>
                      <w:szCs w:val="24"/>
                      <w:lang w:eastAsia="zh-CN"/>
                    </w:rPr>
                    <w:t>（</w:t>
                  </w:r>
                  <w:r>
                    <w:rPr>
                      <w:kern w:val="0"/>
                      <w:sz w:val="24"/>
                      <w:szCs w:val="24"/>
                    </w:rPr>
                    <w:t>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智能接口设备</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9</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音响及语音报警装置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以太网交换机</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时钟同步系统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公用测控装置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线路测控屏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主变测控屏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继</w:t>
                  </w:r>
                  <w:r>
                    <w:rPr>
                      <w:kern w:val="0"/>
                      <w:sz w:val="24"/>
                      <w:szCs w:val="24"/>
                    </w:rPr>
                    <w:cr/>
                  </w:r>
                  <w:r>
                    <w:rPr>
                      <w:kern w:val="0"/>
                      <w:sz w:val="24"/>
                      <w:szCs w:val="24"/>
                    </w:rPr>
                    <w:t>保护试验电源屏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风机 SCADA 监控系统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风机视频监控系统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KVM 设备</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二</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视频安防监视系统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三</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继电保护</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110kV 线路保护屏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线路保护通道接口屏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110kV 变压器保护屏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 及以下母线保护</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35kV 母线差动保护装置，24</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个连接单元</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母线保护转接屏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集电线路保护装置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SVG 保护装置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8</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站用变/接地变保护装置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9</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电容器保护装置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10</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频率电压紧急控制装置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四</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火灾自动报警系统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五</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不停电电源</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UPS电源</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事故照明切换屏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六</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故障录波</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七</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继电保护故障信息管理子站</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八</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继电保护测试仪</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九</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通信线缆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米</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3000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3000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十</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控制电缆</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米</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2300</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2300</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十一</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交流系统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十二</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直流系统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直流充电屏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纸篓馈线屏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直流母线进线及联络屏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蓄电池</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组</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移动式直流放电小车</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十三</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远程自动控制系统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调度数据网屏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二次系统安全防护设备</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功率自动控制系统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风功率预测系统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5</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电能质量在线监测装置</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6</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调度生产管理系统（OMS）</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套</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调度端配合费</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项</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十四</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电能计量系统</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电能量采集终端</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kern w:val="0"/>
                      <w:sz w:val="24"/>
                      <w:szCs w:val="24"/>
                      <w:lang w:val="en-US" w:eastAsia="zh-CN"/>
                    </w:rPr>
                  </w:pPr>
                  <w:r>
                    <w:rPr>
                      <w:rFonts w:hint="eastAsia"/>
                      <w:kern w:val="0"/>
                      <w:sz w:val="24"/>
                      <w:szCs w:val="24"/>
                      <w:lang w:val="en-US" w:eastAsia="zh-CN"/>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电能表</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2.1</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电能表，有功 0.2S,无功 2.0，</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三相四线制，关口计量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kern w:val="0"/>
                      <w:sz w:val="24"/>
                      <w:szCs w:val="24"/>
                      <w:lang w:val="en-US" w:eastAsia="zh-CN"/>
                    </w:rPr>
                  </w:pPr>
                  <w:r>
                    <w:rPr>
                      <w:rFonts w:hint="eastAsia"/>
                      <w:kern w:val="0"/>
                      <w:sz w:val="24"/>
                      <w:szCs w:val="24"/>
                      <w:lang w:val="en-US" w:eastAsia="zh-CN"/>
                    </w:rPr>
                    <w:t>2</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2.2</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电能表，有功 0.5S,无功 2.0，</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三相四线制，非关口计量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台</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7</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kern w:val="0"/>
                      <w:sz w:val="24"/>
                      <w:szCs w:val="24"/>
                      <w:lang w:val="en-US" w:eastAsia="zh-CN"/>
                    </w:rPr>
                  </w:pPr>
                  <w:r>
                    <w:rPr>
                      <w:rFonts w:hint="eastAsia"/>
                      <w:kern w:val="0"/>
                      <w:sz w:val="24"/>
                      <w:szCs w:val="24"/>
                      <w:lang w:val="en-US" w:eastAsia="zh-CN"/>
                    </w:rPr>
                    <w:t>7</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3</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电能表接线盒</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个</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9</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kern w:val="0"/>
                      <w:sz w:val="24"/>
                      <w:szCs w:val="24"/>
                      <w:lang w:val="en-US" w:eastAsia="zh-CN"/>
                    </w:rPr>
                  </w:pPr>
                  <w:r>
                    <w:rPr>
                      <w:rFonts w:hint="eastAsia"/>
                      <w:kern w:val="0"/>
                      <w:sz w:val="24"/>
                      <w:szCs w:val="24"/>
                      <w:lang w:val="en-US" w:eastAsia="zh-CN"/>
                    </w:rPr>
                    <w:t>9</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4</w:t>
                  </w:r>
                </w:p>
              </w:tc>
              <w:tc>
                <w:tcPr>
                  <w:tcW w:w="278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控制屏</w:t>
                  </w:r>
                </w:p>
              </w:tc>
              <w:tc>
                <w:tcPr>
                  <w:tcW w:w="2620"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w:t>
                  </w:r>
                </w:p>
              </w:tc>
              <w:tc>
                <w:tcPr>
                  <w:tcW w:w="9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面</w:t>
                  </w:r>
                </w:p>
              </w:tc>
              <w:tc>
                <w:tcPr>
                  <w:tcW w:w="70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r>
                    <w:rPr>
                      <w:kern w:val="0"/>
                      <w:sz w:val="24"/>
                      <w:szCs w:val="24"/>
                    </w:rPr>
                    <w:t>1</w:t>
                  </w:r>
                </w:p>
              </w:tc>
              <w:tc>
                <w:tcPr>
                  <w:tcW w:w="64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kern w:val="0"/>
                      <w:sz w:val="24"/>
                      <w:szCs w:val="24"/>
                      <w:lang w:val="en-US" w:eastAsia="zh-CN"/>
                    </w:rPr>
                  </w:pPr>
                  <w:r>
                    <w:rPr>
                      <w:rFonts w:hint="eastAsia"/>
                      <w:kern w:val="0"/>
                      <w:sz w:val="24"/>
                      <w:szCs w:val="24"/>
                      <w:lang w:val="en-US" w:eastAsia="zh-CN"/>
                    </w:rPr>
                    <w:t>1</w:t>
                  </w:r>
                </w:p>
              </w:tc>
              <w:tc>
                <w:tcPr>
                  <w:tcW w:w="594"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kern w:val="0"/>
                      <w:sz w:val="24"/>
                      <w:szCs w:val="24"/>
                    </w:rPr>
                  </w:pPr>
                </w:p>
              </w:tc>
            </w:tr>
          </w:tbl>
          <w:p>
            <w:pPr>
              <w:rPr>
                <w:sz w:val="24"/>
              </w:rPr>
            </w:pPr>
          </w:p>
          <w:p>
            <w:pPr>
              <w:jc w:val="center"/>
              <w:rPr>
                <w:color w:val="000000" w:themeColor="text1"/>
                <w:sz w:val="24"/>
              </w:rPr>
            </w:pPr>
            <w:r>
              <w:rPr>
                <w:rFonts w:hint="eastAsia"/>
                <w:color w:val="000000" w:themeColor="text1"/>
                <w:sz w:val="24"/>
              </w:rPr>
              <w:t>表4.1-4项目公辅工程表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350"/>
              <w:gridCol w:w="298"/>
              <w:gridCol w:w="1399"/>
              <w:gridCol w:w="1667"/>
              <w:gridCol w:w="1644"/>
              <w:gridCol w:w="981"/>
              <w:gridCol w:w="1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922" w:type="pct"/>
                  <w:gridSpan w:val="4"/>
                  <w:tcBorders>
                    <w:bottom w:val="single" w:color="auto" w:sz="4" w:space="0"/>
                  </w:tcBorders>
                  <w:vAlign w:val="center"/>
                </w:tcPr>
                <w:p>
                  <w:pPr>
                    <w:jc w:val="center"/>
                    <w:rPr>
                      <w:rFonts w:ascii="宋体" w:hAnsi="宋体"/>
                      <w:color w:val="000000" w:themeColor="text1"/>
                      <w:sz w:val="24"/>
                      <w:szCs w:val="24"/>
                    </w:rPr>
                  </w:pPr>
                  <w:bookmarkStart w:id="7" w:name="_Hlk3186144"/>
                  <w:r>
                    <w:rPr>
                      <w:rFonts w:hint="eastAsia" w:ascii="宋体" w:hAnsi="宋体"/>
                      <w:color w:val="000000" w:themeColor="text1"/>
                      <w:sz w:val="24"/>
                      <w:szCs w:val="24"/>
                    </w:rPr>
                    <w:t>名称</w:t>
                  </w:r>
                </w:p>
              </w:tc>
              <w:tc>
                <w:tcPr>
                  <w:tcW w:w="864"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环评设计</w:t>
                  </w:r>
                </w:p>
              </w:tc>
              <w:tc>
                <w:tcPr>
                  <w:tcW w:w="852" w:type="pct"/>
                  <w:vAlign w:val="center"/>
                </w:tcPr>
                <w:p>
                  <w:pPr>
                    <w:jc w:val="center"/>
                    <w:rPr>
                      <w:rFonts w:ascii="宋体" w:hAnsi="宋体"/>
                      <w:color w:val="000000" w:themeColor="text1"/>
                      <w:sz w:val="24"/>
                      <w:szCs w:val="24"/>
                    </w:rPr>
                  </w:pPr>
                  <w:r>
                    <w:rPr>
                      <w:rFonts w:ascii="宋体" w:hAnsi="宋体"/>
                      <w:color w:val="000000" w:themeColor="text1"/>
                      <w:sz w:val="24"/>
                      <w:szCs w:val="24"/>
                    </w:rPr>
                    <w:t>实际建设</w:t>
                  </w:r>
                </w:p>
              </w:tc>
              <w:tc>
                <w:tcPr>
                  <w:tcW w:w="508" w:type="pct"/>
                  <w:tcBorders>
                    <w:bottom w:val="single" w:color="auto" w:sz="4" w:space="0"/>
                  </w:tcBorders>
                  <w:vAlign w:val="center"/>
                </w:tcPr>
                <w:p>
                  <w:pPr>
                    <w:jc w:val="center"/>
                    <w:rPr>
                      <w:rFonts w:ascii="宋体" w:hAnsi="宋体"/>
                      <w:color w:val="000000" w:themeColor="text1"/>
                      <w:sz w:val="24"/>
                      <w:szCs w:val="24"/>
                    </w:rPr>
                  </w:pPr>
                  <w:r>
                    <w:rPr>
                      <w:rFonts w:ascii="宋体" w:hAnsi="宋体"/>
                      <w:color w:val="000000" w:themeColor="text1"/>
                      <w:sz w:val="24"/>
                      <w:szCs w:val="24"/>
                    </w:rPr>
                    <w:t>变化情况</w:t>
                  </w:r>
                </w:p>
              </w:tc>
              <w:tc>
                <w:tcPr>
                  <w:tcW w:w="850" w:type="pct"/>
                  <w:tcBorders>
                    <w:bottom w:val="single" w:color="auto" w:sz="4" w:space="0"/>
                  </w:tcBorders>
                  <w:vAlign w:val="center"/>
                </w:tcPr>
                <w:p>
                  <w:pPr>
                    <w:jc w:val="center"/>
                    <w:rPr>
                      <w:rFonts w:ascii="宋体" w:hAnsi="宋体"/>
                      <w:color w:val="000000" w:themeColor="text1"/>
                      <w:sz w:val="24"/>
                      <w:szCs w:val="24"/>
                    </w:rPr>
                  </w:pPr>
                  <w:r>
                    <w:rPr>
                      <w:rFonts w:ascii="宋体" w:hAnsi="宋体"/>
                      <w:color w:val="000000" w:themeColor="text1"/>
                      <w:sz w:val="24"/>
                      <w:szCs w:val="24"/>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restart"/>
                  <w:vAlign w:val="center"/>
                </w:tcPr>
                <w:p>
                  <w:pPr>
                    <w:spacing w:line="316" w:lineRule="exact"/>
                    <w:jc w:val="center"/>
                    <w:rPr>
                      <w:bCs/>
                      <w:sz w:val="24"/>
                      <w:szCs w:val="24"/>
                    </w:rPr>
                  </w:pPr>
                  <w:r>
                    <w:rPr>
                      <w:rFonts w:hint="eastAsia"/>
                      <w:bCs/>
                      <w:sz w:val="24"/>
                      <w:szCs w:val="24"/>
                    </w:rPr>
                    <w:t>风电场场址</w:t>
                  </w: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海拔高度</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2831</w:t>
                  </w:r>
                  <w:r>
                    <w:rPr>
                      <w:rFonts w:hint="eastAsia" w:eastAsia="仿宋"/>
                      <w:color w:val="000000" w:themeColor="text1"/>
                      <w:sz w:val="24"/>
                      <w:szCs w:val="24"/>
                    </w:rPr>
                    <w:t>m</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2831</w:t>
                  </w:r>
                  <w:r>
                    <w:rPr>
                      <w:rFonts w:hint="eastAsia" w:eastAsia="仿宋"/>
                      <w:color w:val="000000" w:themeColor="text1"/>
                      <w:sz w:val="24"/>
                      <w:szCs w:val="24"/>
                    </w:rPr>
                    <w:t>m</w:t>
                  </w:r>
                </w:p>
              </w:tc>
              <w:tc>
                <w:tcPr>
                  <w:tcW w:w="508" w:type="pct"/>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与环评一致</w:t>
                  </w: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41" w:type="pct"/>
                  <w:vMerge w:val="continue"/>
                  <w:vAlign w:val="center"/>
                </w:tcPr>
                <w:p>
                  <w:pPr>
                    <w:spacing w:line="316" w:lineRule="exact"/>
                    <w:jc w:val="center"/>
                    <w:rPr>
                      <w:bCs/>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经度（东经）</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117.779569</w:t>
                  </w:r>
                  <w:r>
                    <w:rPr>
                      <w:rFonts w:hint="eastAsia" w:eastAsia="仿宋"/>
                      <w:color w:val="000000" w:themeColor="text1"/>
                      <w:sz w:val="24"/>
                      <w:szCs w:val="24"/>
                    </w:rPr>
                    <w:t>°</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117.779569</w:t>
                  </w:r>
                  <w:r>
                    <w:rPr>
                      <w:rFonts w:hint="eastAsia" w:eastAsia="仿宋"/>
                      <w:color w:val="000000" w:themeColor="text1"/>
                      <w:sz w:val="24"/>
                      <w:szCs w:val="24"/>
                    </w:rPr>
                    <w:t>°</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41" w:type="pct"/>
                  <w:vMerge w:val="continue"/>
                  <w:vAlign w:val="center"/>
                </w:tcPr>
                <w:p>
                  <w:pPr>
                    <w:spacing w:line="316" w:lineRule="exact"/>
                    <w:jc w:val="center"/>
                    <w:rPr>
                      <w:bCs/>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维度（北纬）</w:t>
                  </w:r>
                </w:p>
              </w:tc>
              <w:tc>
                <w:tcPr>
                  <w:tcW w:w="864" w:type="pct"/>
                  <w:vAlign w:val="center"/>
                </w:tcPr>
                <w:p>
                  <w:pPr>
                    <w:adjustRightInd w:val="0"/>
                    <w:snapToGrid w:val="0"/>
                    <w:jc w:val="center"/>
                    <w:rPr>
                      <w:rFonts w:hint="default" w:eastAsia="仿宋"/>
                      <w:color w:val="000000" w:themeColor="text1"/>
                      <w:sz w:val="24"/>
                      <w:szCs w:val="24"/>
                      <w:lang w:val="en-US" w:eastAsia="zh-CN"/>
                    </w:rPr>
                  </w:pPr>
                  <w:r>
                    <w:rPr>
                      <w:rFonts w:hint="eastAsia" w:eastAsia="仿宋"/>
                      <w:color w:val="000000" w:themeColor="text1"/>
                      <w:sz w:val="24"/>
                      <w:szCs w:val="24"/>
                      <w:lang w:val="en-US" w:eastAsia="zh-CN"/>
                    </w:rPr>
                    <w:t>34.496108</w:t>
                  </w:r>
                  <w:r>
                    <w:rPr>
                      <w:rFonts w:hint="eastAsia" w:eastAsia="仿宋"/>
                      <w:color w:val="000000" w:themeColor="text1"/>
                      <w:sz w:val="24"/>
                      <w:szCs w:val="24"/>
                    </w:rPr>
                    <w:t>°</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34.496108</w:t>
                  </w:r>
                  <w:r>
                    <w:rPr>
                      <w:rFonts w:hint="eastAsia" w:eastAsia="仿宋"/>
                      <w:color w:val="000000" w:themeColor="text1"/>
                      <w:sz w:val="24"/>
                      <w:szCs w:val="24"/>
                    </w:rPr>
                    <w:t>°</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bCs/>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年平均风速（轮毂高度）</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5.43</w:t>
                  </w:r>
                  <w:r>
                    <w:rPr>
                      <w:rFonts w:hint="eastAsia" w:eastAsia="仿宋"/>
                      <w:color w:val="000000" w:themeColor="text1"/>
                      <w:sz w:val="24"/>
                      <w:szCs w:val="24"/>
                    </w:rPr>
                    <w:t>m/s</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5.43</w:t>
                  </w:r>
                  <w:r>
                    <w:rPr>
                      <w:rFonts w:hint="eastAsia" w:eastAsia="仿宋"/>
                      <w:color w:val="000000" w:themeColor="text1"/>
                      <w:sz w:val="24"/>
                      <w:szCs w:val="24"/>
                    </w:rPr>
                    <w:t>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bCs/>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风功率密度（轮毂高度）</w:t>
                  </w:r>
                </w:p>
              </w:tc>
              <w:tc>
                <w:tcPr>
                  <w:tcW w:w="864" w:type="pct"/>
                  <w:vAlign w:val="center"/>
                </w:tcPr>
                <w:p>
                  <w:pPr>
                    <w:adjustRightInd w:val="0"/>
                    <w:snapToGrid w:val="0"/>
                    <w:rPr>
                      <w:rFonts w:hint="eastAsia" w:eastAsia="仿宋"/>
                      <w:color w:val="000000" w:themeColor="text1"/>
                      <w:sz w:val="24"/>
                      <w:szCs w:val="24"/>
                    </w:rPr>
                  </w:pPr>
                  <w:r>
                    <w:rPr>
                      <w:rFonts w:hint="eastAsia" w:eastAsia="仿宋"/>
                      <w:color w:val="000000" w:themeColor="text1"/>
                      <w:sz w:val="24"/>
                      <w:szCs w:val="24"/>
                    </w:rPr>
                    <w:t>14538塔：100m 223.53 W/m</w:t>
                  </w:r>
                  <w:r>
                    <w:rPr>
                      <w:rFonts w:hint="eastAsia" w:eastAsia="仿宋"/>
                      <w:color w:val="000000" w:themeColor="text1"/>
                      <w:sz w:val="24"/>
                      <w:szCs w:val="24"/>
                      <w:vertAlign w:val="superscript"/>
                    </w:rPr>
                    <w:t>2</w:t>
                  </w:r>
                </w:p>
                <w:p>
                  <w:pPr>
                    <w:adjustRightInd w:val="0"/>
                    <w:snapToGrid w:val="0"/>
                    <w:rPr>
                      <w:rFonts w:eastAsia="仿宋"/>
                      <w:color w:val="000000" w:themeColor="text1"/>
                      <w:sz w:val="24"/>
                      <w:szCs w:val="24"/>
                    </w:rPr>
                  </w:pPr>
                  <w:r>
                    <w:rPr>
                      <w:rFonts w:hint="eastAsia" w:eastAsia="仿宋"/>
                      <w:color w:val="000000" w:themeColor="text1"/>
                      <w:sz w:val="24"/>
                      <w:szCs w:val="24"/>
                    </w:rPr>
                    <w:t>4539塔：140m 166.29 W/m</w:t>
                  </w:r>
                  <w:r>
                    <w:rPr>
                      <w:rFonts w:hint="eastAsia" w:eastAsia="仿宋"/>
                      <w:color w:val="000000" w:themeColor="text1"/>
                      <w:sz w:val="24"/>
                      <w:szCs w:val="24"/>
                      <w:vertAlign w:val="superscript"/>
                    </w:rPr>
                    <w:t>2</w:t>
                  </w:r>
                </w:p>
              </w:tc>
              <w:tc>
                <w:tcPr>
                  <w:tcW w:w="852" w:type="pct"/>
                  <w:vAlign w:val="center"/>
                </w:tcPr>
                <w:p>
                  <w:pPr>
                    <w:adjustRightInd w:val="0"/>
                    <w:snapToGrid w:val="0"/>
                    <w:rPr>
                      <w:rFonts w:hint="eastAsia" w:eastAsia="仿宋"/>
                      <w:color w:val="000000" w:themeColor="text1"/>
                      <w:sz w:val="24"/>
                      <w:szCs w:val="24"/>
                    </w:rPr>
                  </w:pPr>
                  <w:r>
                    <w:rPr>
                      <w:rFonts w:hint="eastAsia" w:eastAsia="仿宋"/>
                      <w:color w:val="000000" w:themeColor="text1"/>
                      <w:sz w:val="24"/>
                      <w:szCs w:val="24"/>
                    </w:rPr>
                    <w:t>14538塔：100m 223.53 W/m</w:t>
                  </w:r>
                  <w:r>
                    <w:rPr>
                      <w:rFonts w:hint="eastAsia" w:eastAsia="仿宋"/>
                      <w:color w:val="000000" w:themeColor="text1"/>
                      <w:sz w:val="24"/>
                      <w:szCs w:val="24"/>
                      <w:vertAlign w:val="superscript"/>
                    </w:rPr>
                    <w:t>2</w:t>
                  </w:r>
                </w:p>
                <w:p>
                  <w:pPr>
                    <w:adjustRightInd w:val="0"/>
                    <w:snapToGrid w:val="0"/>
                    <w:rPr>
                      <w:color w:val="000000" w:themeColor="text1"/>
                      <w:sz w:val="24"/>
                      <w:szCs w:val="24"/>
                    </w:rPr>
                  </w:pPr>
                  <w:r>
                    <w:rPr>
                      <w:rFonts w:hint="eastAsia" w:eastAsia="仿宋"/>
                      <w:color w:val="000000" w:themeColor="text1"/>
                      <w:sz w:val="24"/>
                      <w:szCs w:val="24"/>
                    </w:rPr>
                    <w:t>4539塔：140m 166.29 W/m</w:t>
                  </w:r>
                  <w:r>
                    <w:rPr>
                      <w:rFonts w:hint="eastAsia" w:eastAsia="仿宋"/>
                      <w:color w:val="000000" w:themeColor="text1"/>
                      <w:sz w:val="24"/>
                      <w:szCs w:val="24"/>
                      <w:vertAlign w:val="superscript"/>
                    </w:rPr>
                    <w:t>2</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bCs/>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盛行风向</w:t>
                  </w:r>
                </w:p>
              </w:tc>
              <w:tc>
                <w:tcPr>
                  <w:tcW w:w="864" w:type="pct"/>
                  <w:vAlign w:val="center"/>
                </w:tcPr>
                <w:p>
                  <w:pPr>
                    <w:adjustRightInd w:val="0"/>
                    <w:snapToGrid w:val="0"/>
                    <w:jc w:val="center"/>
                    <w:rPr>
                      <w:rFonts w:hint="eastAsia" w:eastAsia="仿宋"/>
                      <w:color w:val="000000" w:themeColor="text1"/>
                      <w:sz w:val="24"/>
                      <w:szCs w:val="24"/>
                      <w:lang w:val="en-US" w:eastAsia="zh-CN"/>
                    </w:rPr>
                  </w:pPr>
                  <w:r>
                    <w:rPr>
                      <w:rFonts w:hint="eastAsia" w:eastAsia="仿宋"/>
                      <w:color w:val="000000" w:themeColor="text1"/>
                      <w:sz w:val="24"/>
                      <w:szCs w:val="24"/>
                      <w:lang w:val="en-US" w:eastAsia="zh-CN"/>
                    </w:rPr>
                    <w:t>NE</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NE</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restart"/>
                  <w:vAlign w:val="center"/>
                </w:tcPr>
                <w:p>
                  <w:pPr>
                    <w:spacing w:line="316" w:lineRule="exact"/>
                    <w:jc w:val="center"/>
                    <w:rPr>
                      <w:rFonts w:ascii="宋体" w:hAnsi="宋体"/>
                      <w:color w:val="000000" w:themeColor="text1"/>
                      <w:sz w:val="24"/>
                      <w:szCs w:val="24"/>
                    </w:rPr>
                  </w:pPr>
                  <w:r>
                    <w:rPr>
                      <w:rFonts w:hint="eastAsia" w:ascii="宋体" w:hAnsi="宋体"/>
                      <w:color w:val="000000" w:themeColor="text1"/>
                      <w:sz w:val="24"/>
                      <w:szCs w:val="24"/>
                    </w:rPr>
                    <w:t>主要设备</w:t>
                  </w:r>
                </w:p>
              </w:tc>
              <w:tc>
                <w:tcPr>
                  <w:tcW w:w="854" w:type="pct"/>
                  <w:gridSpan w:val="2"/>
                  <w:vMerge w:val="restart"/>
                  <w:vAlign w:val="center"/>
                </w:tcPr>
                <w:p>
                  <w:pPr>
                    <w:widowControl/>
                    <w:jc w:val="center"/>
                    <w:textAlignment w:val="bottom"/>
                    <w:rPr>
                      <w:rFonts w:ascii="宋体" w:hAnsi="宋体"/>
                      <w:color w:val="000000" w:themeColor="text1"/>
                      <w:sz w:val="24"/>
                      <w:szCs w:val="24"/>
                    </w:rPr>
                  </w:pPr>
                  <w:r>
                    <w:rPr>
                      <w:rFonts w:hint="eastAsia" w:ascii="宋体" w:hAnsi="宋体"/>
                      <w:color w:val="000000" w:themeColor="text1"/>
                      <w:sz w:val="24"/>
                      <w:szCs w:val="24"/>
                    </w:rPr>
                    <w:t>风电场主要机电设备</w:t>
                  </w: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台数</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35</w:t>
                  </w:r>
                  <w:r>
                    <w:rPr>
                      <w:rFonts w:hint="eastAsia" w:eastAsia="仿宋"/>
                      <w:color w:val="000000" w:themeColor="text1"/>
                      <w:sz w:val="24"/>
                      <w:szCs w:val="24"/>
                    </w:rPr>
                    <w:t>台</w:t>
                  </w:r>
                </w:p>
              </w:tc>
              <w:tc>
                <w:tcPr>
                  <w:tcW w:w="852" w:type="pct"/>
                  <w:vAlign w:val="center"/>
                </w:tcPr>
                <w:p>
                  <w:pPr>
                    <w:adjustRightInd w:val="0"/>
                    <w:snapToGrid w:val="0"/>
                    <w:jc w:val="center"/>
                    <w:rPr>
                      <w:color w:val="000000" w:themeColor="text1"/>
                      <w:sz w:val="24"/>
                      <w:szCs w:val="24"/>
                    </w:rPr>
                  </w:pPr>
                  <w:r>
                    <w:rPr>
                      <w:rFonts w:hint="eastAsia" w:eastAsia="仿宋"/>
                      <w:color w:val="000000" w:themeColor="text1"/>
                      <w:sz w:val="24"/>
                      <w:szCs w:val="24"/>
                      <w:lang w:val="en-US" w:eastAsia="zh-CN"/>
                    </w:rPr>
                    <w:t>33</w:t>
                  </w:r>
                  <w:r>
                    <w:rPr>
                      <w:rFonts w:hint="eastAsia" w:eastAsia="仿宋"/>
                      <w:color w:val="000000" w:themeColor="text1"/>
                      <w:sz w:val="24"/>
                      <w:szCs w:val="24"/>
                    </w:rPr>
                    <w:t>台</w:t>
                  </w:r>
                </w:p>
              </w:tc>
              <w:tc>
                <w:tcPr>
                  <w:tcW w:w="508" w:type="pct"/>
                  <w:vAlign w:val="center"/>
                </w:tcPr>
                <w:p>
                  <w:pPr>
                    <w:jc w:val="center"/>
                    <w:rPr>
                      <w:rFonts w:hint="eastAsia" w:ascii="宋体" w:hAnsi="宋体" w:eastAsia="宋体"/>
                      <w:color w:val="000000" w:themeColor="text1"/>
                      <w:sz w:val="24"/>
                      <w:szCs w:val="24"/>
                      <w:lang w:val="en-US" w:eastAsia="zh-CN"/>
                    </w:rPr>
                  </w:pPr>
                  <w:r>
                    <w:rPr>
                      <w:rFonts w:hint="eastAsia" w:ascii="宋体" w:hAnsi="宋体"/>
                      <w:color w:val="000000" w:themeColor="text1"/>
                      <w:sz w:val="24"/>
                      <w:szCs w:val="24"/>
                      <w:lang w:val="en-US" w:eastAsia="zh-CN"/>
                    </w:rPr>
                    <w:t>/</w:t>
                  </w:r>
                </w:p>
              </w:tc>
              <w:tc>
                <w:tcPr>
                  <w:tcW w:w="850" w:type="pct"/>
                  <w:vAlign w:val="center"/>
                </w:tcPr>
                <w:p>
                  <w:pPr>
                    <w:jc w:val="center"/>
                    <w:rPr>
                      <w:rFonts w:hint="default" w:eastAsia="宋体"/>
                      <w:color w:val="000000" w:themeColor="text1"/>
                      <w:sz w:val="24"/>
                      <w:szCs w:val="24"/>
                      <w:lang w:val="en-US" w:eastAsia="zh-CN"/>
                    </w:rPr>
                  </w:pPr>
                  <w:r>
                    <w:rPr>
                      <w:rFonts w:hint="eastAsia" w:ascii="宋体" w:hAnsi="宋体"/>
                      <w:color w:val="000000" w:themeColor="text1"/>
                      <w:sz w:val="24"/>
                      <w:szCs w:val="24"/>
                      <w:lang w:val="en-US" w:eastAsia="zh-CN"/>
                    </w:rPr>
                    <w:t>减少2台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额定功率</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2500kW</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250</w:t>
                  </w:r>
                  <w:r>
                    <w:rPr>
                      <w:rFonts w:hint="eastAsia" w:eastAsia="仿宋"/>
                      <w:color w:val="000000" w:themeColor="text1"/>
                      <w:sz w:val="24"/>
                      <w:szCs w:val="24"/>
                    </w:rPr>
                    <w:t>0</w:t>
                  </w:r>
                  <w:r>
                    <w:rPr>
                      <w:rFonts w:hint="eastAsia" w:eastAsia="仿宋"/>
                      <w:color w:val="000000" w:themeColor="text1"/>
                      <w:sz w:val="24"/>
                      <w:szCs w:val="24"/>
                      <w:lang w:eastAsia="zh-CN"/>
                    </w:rPr>
                    <w:t>kW</w:t>
                  </w:r>
                </w:p>
              </w:tc>
              <w:tc>
                <w:tcPr>
                  <w:tcW w:w="508" w:type="pct"/>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与环评一致</w:t>
                  </w:r>
                </w:p>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叶片数</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3片</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3片</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风轮直径</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141m</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141m</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扫风面积</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15614m</w:t>
                  </w:r>
                  <w:r>
                    <w:rPr>
                      <w:rFonts w:hint="eastAsia" w:eastAsia="仿宋"/>
                      <w:color w:val="000000" w:themeColor="text1"/>
                      <w:sz w:val="24"/>
                      <w:szCs w:val="24"/>
                      <w:vertAlign w:val="superscript"/>
                    </w:rPr>
                    <w:t>2</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15614m</w:t>
                  </w:r>
                  <w:r>
                    <w:rPr>
                      <w:rFonts w:hint="eastAsia" w:eastAsia="仿宋"/>
                      <w:color w:val="000000" w:themeColor="text1"/>
                      <w:sz w:val="24"/>
                      <w:szCs w:val="24"/>
                      <w:vertAlign w:val="superscript"/>
                    </w:rPr>
                    <w:t>2</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切入风速</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3m/s</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3m/s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额定风速</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9m/s</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9m/s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切出风速</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20m/s</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20m/s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安全风速</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Sm/s</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Sm/s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湍流等级</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Bm/s</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Bm/s</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轮毂高度</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140m</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140m</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ascii="宋体" w:hAnsi="宋体"/>
                      <w:color w:val="000000" w:themeColor="text1"/>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发电机额定功率</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2650</w:t>
                  </w:r>
                  <w:r>
                    <w:rPr>
                      <w:rFonts w:hint="eastAsia" w:eastAsia="仿宋"/>
                      <w:color w:val="000000" w:themeColor="text1"/>
                      <w:sz w:val="24"/>
                      <w:szCs w:val="24"/>
                      <w:lang w:eastAsia="zh-CN"/>
                    </w:rPr>
                    <w:t>kW</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2650</w:t>
                  </w:r>
                  <w:r>
                    <w:rPr>
                      <w:rFonts w:hint="eastAsia" w:eastAsia="仿宋"/>
                      <w:color w:val="000000" w:themeColor="text1"/>
                      <w:sz w:val="24"/>
                      <w:szCs w:val="24"/>
                      <w:lang w:eastAsia="zh-CN"/>
                    </w:rPr>
                    <w:t>kW</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发电机功率因数</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-0.95+0.95</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-0.95+0.95</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额定电压</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690V</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rPr>
                    <w:t>690V</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箱式变压站</w:t>
                  </w:r>
                </w:p>
              </w:tc>
              <w:tc>
                <w:tcPr>
                  <w:tcW w:w="864"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35</w:t>
                  </w:r>
                  <w:r>
                    <w:rPr>
                      <w:rFonts w:hint="eastAsia" w:eastAsia="仿宋"/>
                      <w:b/>
                      <w:bCs/>
                      <w:color w:val="000000" w:themeColor="text1"/>
                      <w:sz w:val="24"/>
                      <w:szCs w:val="24"/>
                    </w:rPr>
                    <w:t>套</w:t>
                  </w:r>
                </w:p>
              </w:tc>
              <w:tc>
                <w:tcPr>
                  <w:tcW w:w="852" w:type="pct"/>
                  <w:vAlign w:val="center"/>
                </w:tcPr>
                <w:p>
                  <w:pPr>
                    <w:adjustRightInd w:val="0"/>
                    <w:snapToGrid w:val="0"/>
                    <w:jc w:val="center"/>
                    <w:rPr>
                      <w:rFonts w:eastAsia="仿宋"/>
                      <w:color w:val="000000" w:themeColor="text1"/>
                      <w:sz w:val="24"/>
                      <w:szCs w:val="24"/>
                    </w:rPr>
                  </w:pPr>
                  <w:r>
                    <w:rPr>
                      <w:rFonts w:hint="eastAsia" w:eastAsia="仿宋"/>
                      <w:color w:val="000000" w:themeColor="text1"/>
                      <w:sz w:val="24"/>
                      <w:szCs w:val="24"/>
                      <w:lang w:val="en-US" w:eastAsia="zh-CN"/>
                    </w:rPr>
                    <w:t>35</w:t>
                  </w:r>
                  <w:r>
                    <w:rPr>
                      <w:rFonts w:hint="eastAsia" w:eastAsia="仿宋"/>
                      <w:b/>
                      <w:bCs/>
                      <w:color w:val="000000" w:themeColor="text1"/>
                      <w:sz w:val="24"/>
                      <w:szCs w:val="24"/>
                    </w:rPr>
                    <w:t>套</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restart"/>
                  <w:vAlign w:val="center"/>
                </w:tcPr>
                <w:p>
                  <w:pPr>
                    <w:widowControl/>
                    <w:jc w:val="center"/>
                    <w:textAlignment w:val="bottom"/>
                    <w:rPr>
                      <w:color w:val="000000"/>
                      <w:kern w:val="0"/>
                      <w:sz w:val="24"/>
                      <w:szCs w:val="24"/>
                    </w:rPr>
                  </w:pPr>
                  <w:r>
                    <w:rPr>
                      <w:rFonts w:hint="eastAsia"/>
                      <w:color w:val="000000"/>
                      <w:kern w:val="0"/>
                      <w:sz w:val="24"/>
                      <w:szCs w:val="24"/>
                    </w:rPr>
                    <w:t>主变压器</w:t>
                  </w: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型号</w:t>
                  </w:r>
                </w:p>
              </w:tc>
              <w:tc>
                <w:tcPr>
                  <w:tcW w:w="864" w:type="pct"/>
                  <w:vAlign w:val="center"/>
                </w:tcPr>
                <w:p>
                  <w:pPr>
                    <w:widowControl/>
                    <w:jc w:val="center"/>
                    <w:textAlignment w:val="bottom"/>
                    <w:rPr>
                      <w:color w:val="000000"/>
                      <w:kern w:val="0"/>
                      <w:sz w:val="24"/>
                      <w:szCs w:val="24"/>
                    </w:rPr>
                  </w:pPr>
                  <w:r>
                    <w:rPr>
                      <w:color w:val="000000"/>
                      <w:kern w:val="0"/>
                      <w:sz w:val="24"/>
                      <w:szCs w:val="24"/>
                    </w:rPr>
                    <w:t xml:space="preserve">SZ11-50000/110 </w:t>
                  </w:r>
                  <w:r>
                    <w:rPr>
                      <w:rFonts w:hint="eastAsia"/>
                      <w:color w:val="000000"/>
                      <w:kern w:val="0"/>
                      <w:sz w:val="24"/>
                      <w:szCs w:val="24"/>
                    </w:rPr>
                    <w:t xml:space="preserve">户外三相油浸 </w:t>
                  </w:r>
                </w:p>
                <w:p>
                  <w:pPr>
                    <w:widowControl/>
                    <w:jc w:val="center"/>
                    <w:textAlignment w:val="bottom"/>
                    <w:rPr>
                      <w:rFonts w:eastAsia="仿宋"/>
                      <w:color w:val="000000" w:themeColor="text1"/>
                      <w:sz w:val="24"/>
                      <w:szCs w:val="24"/>
                    </w:rPr>
                  </w:pPr>
                  <w:r>
                    <w:rPr>
                      <w:rFonts w:hint="eastAsia"/>
                      <w:color w:val="000000"/>
                      <w:kern w:val="0"/>
                      <w:sz w:val="24"/>
                      <w:szCs w:val="24"/>
                    </w:rPr>
                    <w:t>双绕组有载调压自冷式变压器</w:t>
                  </w:r>
                </w:p>
              </w:tc>
              <w:tc>
                <w:tcPr>
                  <w:tcW w:w="852" w:type="pct"/>
                  <w:vAlign w:val="center"/>
                </w:tcPr>
                <w:p>
                  <w:pPr>
                    <w:widowControl/>
                    <w:jc w:val="center"/>
                    <w:textAlignment w:val="bottom"/>
                    <w:rPr>
                      <w:color w:val="000000"/>
                      <w:kern w:val="0"/>
                      <w:sz w:val="24"/>
                      <w:szCs w:val="24"/>
                    </w:rPr>
                  </w:pPr>
                  <w:r>
                    <w:rPr>
                      <w:color w:val="000000"/>
                      <w:kern w:val="0"/>
                      <w:sz w:val="24"/>
                      <w:szCs w:val="24"/>
                    </w:rPr>
                    <w:t xml:space="preserve">SZ11-50000/110 </w:t>
                  </w:r>
                  <w:r>
                    <w:rPr>
                      <w:rFonts w:hint="eastAsia"/>
                      <w:color w:val="000000"/>
                      <w:kern w:val="0"/>
                      <w:sz w:val="24"/>
                      <w:szCs w:val="24"/>
                    </w:rPr>
                    <w:t xml:space="preserve">户外三相油浸 </w:t>
                  </w:r>
                </w:p>
                <w:p>
                  <w:pPr>
                    <w:widowControl/>
                    <w:jc w:val="center"/>
                    <w:textAlignment w:val="bottom"/>
                    <w:rPr>
                      <w:rFonts w:eastAsia="仿宋"/>
                      <w:color w:val="000000" w:themeColor="text1"/>
                      <w:sz w:val="24"/>
                      <w:szCs w:val="24"/>
                    </w:rPr>
                  </w:pPr>
                  <w:r>
                    <w:rPr>
                      <w:rFonts w:hint="eastAsia"/>
                      <w:color w:val="000000"/>
                      <w:kern w:val="0"/>
                      <w:sz w:val="24"/>
                      <w:szCs w:val="24"/>
                    </w:rPr>
                    <w:t>双绕组有载调压自冷式变压器</w:t>
                  </w:r>
                </w:p>
              </w:tc>
              <w:tc>
                <w:tcPr>
                  <w:tcW w:w="508" w:type="pct"/>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与环评一致</w:t>
                  </w:r>
                </w:p>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台数</w:t>
                  </w:r>
                </w:p>
              </w:tc>
              <w:tc>
                <w:tcPr>
                  <w:tcW w:w="864"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1台</w:t>
                  </w:r>
                </w:p>
              </w:tc>
              <w:tc>
                <w:tcPr>
                  <w:tcW w:w="852"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1台</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容量</w:t>
                  </w:r>
                </w:p>
              </w:tc>
              <w:tc>
                <w:tcPr>
                  <w:tcW w:w="864"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50MVA</w:t>
                  </w:r>
                </w:p>
              </w:tc>
              <w:tc>
                <w:tcPr>
                  <w:tcW w:w="852"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50MVA</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restart"/>
                  <w:vAlign w:val="center"/>
                </w:tcPr>
                <w:p>
                  <w:pPr>
                    <w:widowControl/>
                    <w:jc w:val="center"/>
                    <w:textAlignment w:val="bottom"/>
                    <w:rPr>
                      <w:rFonts w:hint="default" w:eastAsia="宋体"/>
                      <w:color w:val="000000"/>
                      <w:kern w:val="0"/>
                      <w:sz w:val="24"/>
                      <w:szCs w:val="24"/>
                      <w:lang w:val="en-US" w:eastAsia="zh-CN"/>
                    </w:rPr>
                  </w:pPr>
                  <w:r>
                    <w:rPr>
                      <w:rFonts w:hint="eastAsia"/>
                      <w:color w:val="000000"/>
                      <w:kern w:val="0"/>
                      <w:sz w:val="24"/>
                      <w:szCs w:val="24"/>
                      <w:lang w:val="en-US" w:eastAsia="zh-CN"/>
                    </w:rPr>
                    <w:t>集电线路</w:t>
                  </w:r>
                </w:p>
              </w:tc>
              <w:tc>
                <w:tcPr>
                  <w:tcW w:w="725" w:type="pct"/>
                  <w:vAlign w:val="center"/>
                </w:tcPr>
                <w:p>
                  <w:pPr>
                    <w:pStyle w:val="121"/>
                    <w:spacing w:line="240" w:lineRule="exact"/>
                    <w:rPr>
                      <w:rFonts w:hint="eastAsia"/>
                      <w:color w:val="000000"/>
                      <w:kern w:val="0"/>
                      <w:sz w:val="24"/>
                      <w:szCs w:val="24"/>
                    </w:rPr>
                  </w:pPr>
                  <w:r>
                    <w:rPr>
                      <w:sz w:val="24"/>
                      <w:szCs w:val="24"/>
                    </w:rPr>
                    <w:t>电压等级</w:t>
                  </w:r>
                </w:p>
              </w:tc>
              <w:tc>
                <w:tcPr>
                  <w:tcW w:w="864" w:type="pct"/>
                  <w:vAlign w:val="center"/>
                </w:tcPr>
                <w:p>
                  <w:pPr>
                    <w:pStyle w:val="121"/>
                    <w:spacing w:line="240" w:lineRule="exact"/>
                    <w:rPr>
                      <w:rFonts w:hint="eastAsia"/>
                      <w:color w:val="000000"/>
                      <w:kern w:val="0"/>
                      <w:sz w:val="24"/>
                      <w:szCs w:val="24"/>
                    </w:rPr>
                  </w:pPr>
                  <w:r>
                    <w:rPr>
                      <w:sz w:val="24"/>
                      <w:szCs w:val="24"/>
                    </w:rPr>
                    <w:t>kV</w:t>
                  </w:r>
                </w:p>
              </w:tc>
              <w:tc>
                <w:tcPr>
                  <w:tcW w:w="852" w:type="pct"/>
                  <w:vAlign w:val="center"/>
                </w:tcPr>
                <w:p>
                  <w:pPr>
                    <w:pStyle w:val="121"/>
                    <w:spacing w:line="240" w:lineRule="exact"/>
                    <w:rPr>
                      <w:rFonts w:hint="eastAsia"/>
                      <w:color w:val="000000"/>
                      <w:kern w:val="0"/>
                      <w:sz w:val="24"/>
                      <w:szCs w:val="24"/>
                    </w:rPr>
                  </w:pPr>
                  <w:r>
                    <w:rPr>
                      <w:sz w:val="24"/>
                      <w:szCs w:val="24"/>
                    </w:rPr>
                    <w:t>kV</w:t>
                  </w:r>
                </w:p>
              </w:tc>
              <w:tc>
                <w:tcPr>
                  <w:tcW w:w="508" w:type="pct"/>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hint="eastAsia"/>
                      <w:color w:val="000000"/>
                      <w:kern w:val="0"/>
                      <w:sz w:val="24"/>
                      <w:szCs w:val="24"/>
                      <w:lang w:val="en-US" w:eastAsia="zh-CN"/>
                    </w:rPr>
                  </w:pPr>
                </w:p>
              </w:tc>
              <w:tc>
                <w:tcPr>
                  <w:tcW w:w="725" w:type="pct"/>
                  <w:vAlign w:val="center"/>
                </w:tcPr>
                <w:p>
                  <w:pPr>
                    <w:pStyle w:val="121"/>
                    <w:spacing w:line="240" w:lineRule="exact"/>
                    <w:rPr>
                      <w:rFonts w:hint="eastAsia"/>
                      <w:color w:val="000000"/>
                      <w:kern w:val="0"/>
                      <w:sz w:val="24"/>
                      <w:szCs w:val="24"/>
                    </w:rPr>
                  </w:pPr>
                  <w:r>
                    <w:rPr>
                      <w:sz w:val="24"/>
                      <w:szCs w:val="24"/>
                    </w:rPr>
                    <w:t>回路数</w:t>
                  </w:r>
                </w:p>
              </w:tc>
              <w:tc>
                <w:tcPr>
                  <w:tcW w:w="864" w:type="pct"/>
                  <w:vAlign w:val="center"/>
                </w:tcPr>
                <w:p>
                  <w:pPr>
                    <w:pStyle w:val="121"/>
                    <w:spacing w:line="240" w:lineRule="exact"/>
                    <w:rPr>
                      <w:rFonts w:hint="eastAsia"/>
                      <w:color w:val="000000"/>
                      <w:kern w:val="0"/>
                      <w:sz w:val="24"/>
                      <w:szCs w:val="24"/>
                    </w:rPr>
                  </w:pPr>
                  <w:r>
                    <w:rPr>
                      <w:rFonts w:hint="eastAsia"/>
                      <w:sz w:val="24"/>
                      <w:szCs w:val="24"/>
                      <w:lang w:val="en-US" w:eastAsia="zh-CN"/>
                    </w:rPr>
                    <w:t>4</w:t>
                  </w:r>
                  <w:r>
                    <w:rPr>
                      <w:sz w:val="24"/>
                      <w:szCs w:val="24"/>
                    </w:rPr>
                    <w:t>回</w:t>
                  </w:r>
                </w:p>
              </w:tc>
              <w:tc>
                <w:tcPr>
                  <w:tcW w:w="852" w:type="pct"/>
                  <w:vAlign w:val="center"/>
                </w:tcPr>
                <w:p>
                  <w:pPr>
                    <w:pStyle w:val="121"/>
                    <w:spacing w:line="240" w:lineRule="exact"/>
                    <w:rPr>
                      <w:rFonts w:hint="eastAsia"/>
                      <w:color w:val="000000"/>
                      <w:kern w:val="0"/>
                      <w:sz w:val="24"/>
                      <w:szCs w:val="24"/>
                    </w:rPr>
                  </w:pPr>
                  <w:r>
                    <w:rPr>
                      <w:rFonts w:hint="eastAsia"/>
                      <w:sz w:val="24"/>
                      <w:szCs w:val="24"/>
                      <w:lang w:val="en-US" w:eastAsia="zh-CN"/>
                    </w:rPr>
                    <w:t>4</w:t>
                  </w:r>
                  <w:r>
                    <w:rPr>
                      <w:sz w:val="24"/>
                      <w:szCs w:val="24"/>
                    </w:rPr>
                    <w:t>回</w:t>
                  </w:r>
                </w:p>
              </w:tc>
              <w:tc>
                <w:tcPr>
                  <w:tcW w:w="508" w:type="pct"/>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hint="eastAsia"/>
                      <w:color w:val="000000"/>
                      <w:kern w:val="0"/>
                      <w:sz w:val="24"/>
                      <w:szCs w:val="24"/>
                      <w:lang w:val="en-US" w:eastAsia="zh-CN"/>
                    </w:rPr>
                  </w:pPr>
                </w:p>
              </w:tc>
              <w:tc>
                <w:tcPr>
                  <w:tcW w:w="725" w:type="pct"/>
                  <w:vAlign w:val="center"/>
                </w:tcPr>
                <w:p>
                  <w:pPr>
                    <w:pStyle w:val="121"/>
                    <w:spacing w:line="240" w:lineRule="exact"/>
                    <w:rPr>
                      <w:rFonts w:hint="eastAsia"/>
                      <w:color w:val="000000"/>
                      <w:kern w:val="0"/>
                      <w:sz w:val="24"/>
                      <w:szCs w:val="24"/>
                    </w:rPr>
                  </w:pPr>
                  <w:r>
                    <w:rPr>
                      <w:sz w:val="24"/>
                      <w:szCs w:val="24"/>
                    </w:rPr>
                    <w:t>长度</w:t>
                  </w:r>
                </w:p>
              </w:tc>
              <w:tc>
                <w:tcPr>
                  <w:tcW w:w="864" w:type="pct"/>
                  <w:vAlign w:val="center"/>
                </w:tcPr>
                <w:p>
                  <w:pPr>
                    <w:pStyle w:val="121"/>
                    <w:spacing w:line="240" w:lineRule="exact"/>
                    <w:rPr>
                      <w:rFonts w:hint="eastAsia"/>
                      <w:color w:val="000000"/>
                      <w:kern w:val="0"/>
                      <w:sz w:val="24"/>
                      <w:szCs w:val="24"/>
                    </w:rPr>
                  </w:pPr>
                  <w:r>
                    <w:rPr>
                      <w:rFonts w:hint="eastAsia"/>
                      <w:sz w:val="24"/>
                      <w:szCs w:val="24"/>
                      <w:lang w:val="en-US" w:eastAsia="zh-CN"/>
                    </w:rPr>
                    <w:t>37.12</w:t>
                  </w:r>
                  <w:r>
                    <w:rPr>
                      <w:sz w:val="24"/>
                      <w:szCs w:val="24"/>
                    </w:rPr>
                    <w:t>km</w:t>
                  </w:r>
                </w:p>
              </w:tc>
              <w:tc>
                <w:tcPr>
                  <w:tcW w:w="852" w:type="pct"/>
                  <w:vAlign w:val="center"/>
                </w:tcPr>
                <w:p>
                  <w:pPr>
                    <w:pStyle w:val="121"/>
                    <w:spacing w:line="240" w:lineRule="exact"/>
                    <w:rPr>
                      <w:rFonts w:hint="eastAsia"/>
                      <w:color w:val="000000"/>
                      <w:kern w:val="0"/>
                      <w:sz w:val="24"/>
                      <w:szCs w:val="24"/>
                    </w:rPr>
                  </w:pPr>
                  <w:r>
                    <w:rPr>
                      <w:rFonts w:hint="eastAsia"/>
                      <w:sz w:val="24"/>
                      <w:szCs w:val="24"/>
                      <w:lang w:val="en-US" w:eastAsia="zh-CN"/>
                    </w:rPr>
                    <w:t>37.12</w:t>
                  </w:r>
                  <w:r>
                    <w:rPr>
                      <w:sz w:val="24"/>
                      <w:szCs w:val="24"/>
                    </w:rPr>
                    <w:t>km</w:t>
                  </w:r>
                </w:p>
              </w:tc>
              <w:tc>
                <w:tcPr>
                  <w:tcW w:w="508" w:type="pct"/>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restart"/>
                  <w:vAlign w:val="center"/>
                </w:tcPr>
                <w:p>
                  <w:pPr>
                    <w:widowControl/>
                    <w:jc w:val="center"/>
                    <w:textAlignment w:val="bottom"/>
                    <w:rPr>
                      <w:rFonts w:hint="default"/>
                      <w:color w:val="000000"/>
                      <w:kern w:val="0"/>
                      <w:sz w:val="24"/>
                      <w:szCs w:val="24"/>
                      <w:lang w:val="en-US" w:eastAsia="zh-CN"/>
                    </w:rPr>
                  </w:pPr>
                  <w:r>
                    <w:rPr>
                      <w:rFonts w:hint="eastAsia"/>
                      <w:color w:val="000000"/>
                      <w:kern w:val="0"/>
                      <w:sz w:val="24"/>
                      <w:szCs w:val="24"/>
                      <w:lang w:val="en-US" w:eastAsia="zh-CN"/>
                    </w:rPr>
                    <w:t>送出线路</w:t>
                  </w:r>
                </w:p>
              </w:tc>
              <w:tc>
                <w:tcPr>
                  <w:tcW w:w="725" w:type="pct"/>
                  <w:vAlign w:val="center"/>
                </w:tcPr>
                <w:p>
                  <w:pPr>
                    <w:widowControl/>
                    <w:jc w:val="center"/>
                    <w:textAlignment w:val="bottom"/>
                    <w:rPr>
                      <w:rFonts w:hint="default" w:eastAsia="宋体"/>
                      <w:color w:val="000000"/>
                      <w:kern w:val="0"/>
                      <w:sz w:val="24"/>
                      <w:szCs w:val="24"/>
                      <w:lang w:val="en-US" w:eastAsia="zh-CN"/>
                    </w:rPr>
                  </w:pPr>
                  <w:r>
                    <w:rPr>
                      <w:rFonts w:hint="eastAsia"/>
                      <w:color w:val="000000"/>
                      <w:kern w:val="0"/>
                      <w:sz w:val="24"/>
                      <w:szCs w:val="24"/>
                      <w:lang w:val="en-US" w:eastAsia="zh-CN"/>
                    </w:rPr>
                    <w:t>电压等级</w:t>
                  </w:r>
                </w:p>
              </w:tc>
              <w:tc>
                <w:tcPr>
                  <w:tcW w:w="864" w:type="pct"/>
                  <w:vAlign w:val="center"/>
                </w:tcPr>
                <w:p>
                  <w:pPr>
                    <w:widowControl/>
                    <w:jc w:val="center"/>
                    <w:textAlignment w:val="bottom"/>
                    <w:rPr>
                      <w:rFonts w:hint="default" w:eastAsia="宋体"/>
                      <w:color w:val="000000"/>
                      <w:kern w:val="0"/>
                      <w:sz w:val="24"/>
                      <w:szCs w:val="24"/>
                      <w:lang w:val="en-US" w:eastAsia="zh-CN"/>
                    </w:rPr>
                  </w:pPr>
                  <w:r>
                    <w:rPr>
                      <w:rFonts w:hint="eastAsia"/>
                      <w:color w:val="000000"/>
                      <w:kern w:val="0"/>
                      <w:sz w:val="24"/>
                      <w:szCs w:val="24"/>
                      <w:lang w:val="en-US" w:eastAsia="zh-CN"/>
                    </w:rPr>
                    <w:t>110kV</w:t>
                  </w:r>
                </w:p>
              </w:tc>
              <w:tc>
                <w:tcPr>
                  <w:tcW w:w="852" w:type="pct"/>
                  <w:vAlign w:val="center"/>
                </w:tcPr>
                <w:p>
                  <w:pPr>
                    <w:widowControl/>
                    <w:jc w:val="center"/>
                    <w:textAlignment w:val="bottom"/>
                    <w:rPr>
                      <w:rFonts w:hint="eastAsia"/>
                      <w:color w:val="000000"/>
                      <w:kern w:val="0"/>
                      <w:sz w:val="24"/>
                      <w:szCs w:val="24"/>
                    </w:rPr>
                  </w:pPr>
                  <w:r>
                    <w:rPr>
                      <w:rFonts w:hint="eastAsia"/>
                      <w:color w:val="000000"/>
                      <w:kern w:val="0"/>
                      <w:sz w:val="24"/>
                      <w:szCs w:val="24"/>
                      <w:lang w:val="en-US" w:eastAsia="zh-CN"/>
                    </w:rPr>
                    <w:t>110kV</w:t>
                  </w:r>
                </w:p>
              </w:tc>
              <w:tc>
                <w:tcPr>
                  <w:tcW w:w="508" w:type="pct"/>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rFonts w:hint="eastAsia"/>
                      <w:color w:val="000000"/>
                      <w:kern w:val="0"/>
                      <w:sz w:val="24"/>
                      <w:szCs w:val="24"/>
                      <w:lang w:val="en-US" w:eastAsia="zh-CN"/>
                    </w:rPr>
                  </w:pPr>
                </w:p>
              </w:tc>
              <w:tc>
                <w:tcPr>
                  <w:tcW w:w="725" w:type="pct"/>
                  <w:vAlign w:val="center"/>
                </w:tcPr>
                <w:p>
                  <w:pPr>
                    <w:widowControl/>
                    <w:jc w:val="center"/>
                    <w:textAlignment w:val="bottom"/>
                    <w:rPr>
                      <w:rFonts w:hint="default" w:eastAsia="宋体"/>
                      <w:color w:val="000000"/>
                      <w:kern w:val="0"/>
                      <w:sz w:val="24"/>
                      <w:szCs w:val="24"/>
                      <w:lang w:val="en-US" w:eastAsia="zh-CN"/>
                    </w:rPr>
                  </w:pPr>
                  <w:r>
                    <w:rPr>
                      <w:rFonts w:hint="eastAsia"/>
                      <w:color w:val="000000"/>
                      <w:kern w:val="0"/>
                      <w:sz w:val="24"/>
                      <w:szCs w:val="24"/>
                      <w:lang w:val="en-US" w:eastAsia="zh-CN"/>
                    </w:rPr>
                    <w:t>出线回路数</w:t>
                  </w:r>
                </w:p>
              </w:tc>
              <w:tc>
                <w:tcPr>
                  <w:tcW w:w="864" w:type="pct"/>
                  <w:vAlign w:val="center"/>
                </w:tcPr>
                <w:p>
                  <w:pPr>
                    <w:widowControl/>
                    <w:jc w:val="center"/>
                    <w:textAlignment w:val="bottom"/>
                    <w:rPr>
                      <w:rFonts w:hint="eastAsia" w:eastAsia="宋体"/>
                      <w:color w:val="000000"/>
                      <w:kern w:val="0"/>
                      <w:sz w:val="24"/>
                      <w:szCs w:val="24"/>
                      <w:lang w:val="en-US" w:eastAsia="zh-CN"/>
                    </w:rPr>
                  </w:pPr>
                  <w:r>
                    <w:rPr>
                      <w:rFonts w:hint="eastAsia"/>
                      <w:color w:val="000000"/>
                      <w:kern w:val="0"/>
                      <w:sz w:val="24"/>
                      <w:szCs w:val="24"/>
                      <w:lang w:val="en-US" w:eastAsia="zh-CN"/>
                    </w:rPr>
                    <w:t>1</w:t>
                  </w:r>
                </w:p>
              </w:tc>
              <w:tc>
                <w:tcPr>
                  <w:tcW w:w="852" w:type="pct"/>
                  <w:vAlign w:val="center"/>
                </w:tcPr>
                <w:p>
                  <w:pPr>
                    <w:widowControl/>
                    <w:jc w:val="center"/>
                    <w:textAlignment w:val="bottom"/>
                    <w:rPr>
                      <w:rFonts w:hint="eastAsia"/>
                      <w:color w:val="000000"/>
                      <w:kern w:val="0"/>
                      <w:sz w:val="24"/>
                      <w:szCs w:val="24"/>
                    </w:rPr>
                  </w:pPr>
                  <w:r>
                    <w:rPr>
                      <w:rFonts w:hint="eastAsia"/>
                      <w:color w:val="000000"/>
                      <w:kern w:val="0"/>
                      <w:sz w:val="24"/>
                      <w:szCs w:val="24"/>
                      <w:lang w:val="en-US" w:eastAsia="zh-CN"/>
                    </w:rPr>
                    <w:t>1</w:t>
                  </w:r>
                </w:p>
              </w:tc>
              <w:tc>
                <w:tcPr>
                  <w:tcW w:w="508" w:type="pct"/>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restart"/>
                  <w:vAlign w:val="center"/>
                </w:tcPr>
                <w:p>
                  <w:pPr>
                    <w:widowControl/>
                    <w:jc w:val="center"/>
                    <w:textAlignment w:val="bottom"/>
                    <w:rPr>
                      <w:color w:val="000000"/>
                      <w:kern w:val="0"/>
                      <w:sz w:val="24"/>
                      <w:szCs w:val="24"/>
                    </w:rPr>
                  </w:pPr>
                  <w:r>
                    <w:rPr>
                      <w:rFonts w:hint="eastAsia"/>
                      <w:color w:val="000000"/>
                      <w:kern w:val="0"/>
                      <w:sz w:val="24"/>
                      <w:szCs w:val="24"/>
                    </w:rPr>
                    <w:t>出线回路数及电压等级</w:t>
                  </w: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出线回路数</w:t>
                  </w:r>
                </w:p>
              </w:tc>
              <w:tc>
                <w:tcPr>
                  <w:tcW w:w="864"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1回</w:t>
                  </w:r>
                </w:p>
              </w:tc>
              <w:tc>
                <w:tcPr>
                  <w:tcW w:w="852"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1回</w:t>
                  </w:r>
                </w:p>
              </w:tc>
              <w:tc>
                <w:tcPr>
                  <w:tcW w:w="508" w:type="pct"/>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与环评一致</w:t>
                  </w:r>
                </w:p>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854" w:type="pct"/>
                  <w:gridSpan w:val="2"/>
                  <w:vMerge w:val="continue"/>
                  <w:vAlign w:val="center"/>
                </w:tcPr>
                <w:p>
                  <w:pPr>
                    <w:widowControl/>
                    <w:jc w:val="center"/>
                    <w:textAlignment w:val="bottom"/>
                    <w:rPr>
                      <w:color w:val="000000"/>
                      <w:kern w:val="0"/>
                      <w:sz w:val="24"/>
                      <w:szCs w:val="24"/>
                    </w:rPr>
                  </w:pPr>
                </w:p>
              </w:tc>
              <w:tc>
                <w:tcPr>
                  <w:tcW w:w="725" w:type="pct"/>
                  <w:vAlign w:val="center"/>
                </w:tcPr>
                <w:p>
                  <w:pPr>
                    <w:widowControl/>
                    <w:jc w:val="center"/>
                    <w:textAlignment w:val="bottom"/>
                    <w:rPr>
                      <w:color w:val="000000"/>
                      <w:kern w:val="0"/>
                      <w:sz w:val="24"/>
                      <w:szCs w:val="24"/>
                    </w:rPr>
                  </w:pPr>
                  <w:r>
                    <w:rPr>
                      <w:rFonts w:hint="eastAsia"/>
                      <w:color w:val="000000"/>
                      <w:kern w:val="0"/>
                      <w:sz w:val="24"/>
                      <w:szCs w:val="24"/>
                    </w:rPr>
                    <w:t>电压等级</w:t>
                  </w:r>
                </w:p>
              </w:tc>
              <w:tc>
                <w:tcPr>
                  <w:tcW w:w="864"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110KV</w:t>
                  </w:r>
                </w:p>
              </w:tc>
              <w:tc>
                <w:tcPr>
                  <w:tcW w:w="852" w:type="pct"/>
                  <w:vAlign w:val="center"/>
                </w:tcPr>
                <w:p>
                  <w:pPr>
                    <w:widowControl/>
                    <w:jc w:val="center"/>
                    <w:textAlignment w:val="bottom"/>
                    <w:rPr>
                      <w:rFonts w:eastAsia="仿宋"/>
                      <w:color w:val="000000" w:themeColor="text1"/>
                      <w:sz w:val="24"/>
                      <w:szCs w:val="24"/>
                    </w:rPr>
                  </w:pPr>
                  <w:r>
                    <w:rPr>
                      <w:rFonts w:hint="eastAsia"/>
                      <w:color w:val="000000"/>
                      <w:kern w:val="0"/>
                      <w:sz w:val="24"/>
                      <w:szCs w:val="24"/>
                    </w:rPr>
                    <w:t>110KV</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restart"/>
                  <w:vAlign w:val="center"/>
                </w:tcPr>
                <w:p>
                  <w:pPr>
                    <w:spacing w:line="316" w:lineRule="exact"/>
                    <w:jc w:val="center"/>
                    <w:rPr>
                      <w:rFonts w:ascii="宋体" w:hAnsi="宋体"/>
                      <w:color w:val="000000" w:themeColor="text1"/>
                      <w:sz w:val="24"/>
                      <w:szCs w:val="24"/>
                    </w:rPr>
                  </w:pPr>
                  <w:r>
                    <w:rPr>
                      <w:rFonts w:hint="eastAsia" w:ascii="宋体" w:hAnsi="宋体"/>
                      <w:color w:val="000000" w:themeColor="text1"/>
                      <w:sz w:val="24"/>
                      <w:szCs w:val="24"/>
                    </w:rPr>
                    <w:t>土建</w:t>
                  </w: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占地面积</w:t>
                  </w:r>
                </w:p>
              </w:tc>
              <w:tc>
                <w:tcPr>
                  <w:tcW w:w="864" w:type="pct"/>
                  <w:vAlign w:val="center"/>
                </w:tcPr>
                <w:p>
                  <w:pPr>
                    <w:widowControl/>
                    <w:jc w:val="center"/>
                    <w:textAlignment w:val="bottom"/>
                    <w:rPr>
                      <w:color w:val="000000"/>
                      <w:kern w:val="0"/>
                      <w:sz w:val="24"/>
                      <w:szCs w:val="24"/>
                    </w:rPr>
                  </w:pPr>
                  <w:r>
                    <w:rPr>
                      <w:rFonts w:hint="eastAsia"/>
                      <w:color w:val="000000"/>
                      <w:kern w:val="0"/>
                      <w:sz w:val="24"/>
                      <w:szCs w:val="24"/>
                    </w:rPr>
                    <w:t>4330m</w:t>
                  </w:r>
                  <w:r>
                    <w:rPr>
                      <w:rFonts w:hint="eastAsia"/>
                      <w:color w:val="000000"/>
                      <w:kern w:val="0"/>
                      <w:sz w:val="24"/>
                      <w:szCs w:val="24"/>
                      <w:vertAlign w:val="superscript"/>
                    </w:rPr>
                    <w:t>2</w:t>
                  </w:r>
                </w:p>
              </w:tc>
              <w:tc>
                <w:tcPr>
                  <w:tcW w:w="852" w:type="pct"/>
                  <w:vAlign w:val="center"/>
                </w:tcPr>
                <w:p>
                  <w:pPr>
                    <w:widowControl/>
                    <w:jc w:val="center"/>
                    <w:textAlignment w:val="bottom"/>
                    <w:rPr>
                      <w:color w:val="000000"/>
                      <w:kern w:val="0"/>
                      <w:sz w:val="24"/>
                      <w:szCs w:val="24"/>
                    </w:rPr>
                  </w:pPr>
                  <w:r>
                    <w:rPr>
                      <w:rFonts w:hint="eastAsia"/>
                      <w:color w:val="000000"/>
                      <w:kern w:val="0"/>
                      <w:sz w:val="24"/>
                      <w:szCs w:val="24"/>
                    </w:rPr>
                    <w:t>4330m</w:t>
                  </w:r>
                  <w:r>
                    <w:rPr>
                      <w:rFonts w:hint="eastAsia"/>
                      <w:color w:val="000000"/>
                      <w:kern w:val="0"/>
                      <w:sz w:val="24"/>
                      <w:szCs w:val="24"/>
                      <w:vertAlign w:val="superscript"/>
                    </w:rPr>
                    <w:t>2</w:t>
                  </w:r>
                </w:p>
              </w:tc>
              <w:tc>
                <w:tcPr>
                  <w:tcW w:w="508" w:type="pct"/>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与环评一致</w:t>
                  </w:r>
                </w:p>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1580" w:type="pct"/>
                  <w:gridSpan w:val="3"/>
                  <w:vAlign w:val="center"/>
                </w:tcPr>
                <w:p>
                  <w:pPr>
                    <w:widowControl/>
                    <w:jc w:val="center"/>
                    <w:textAlignment w:val="bottom"/>
                    <w:rPr>
                      <w:color w:val="000000"/>
                      <w:kern w:val="0"/>
                      <w:sz w:val="24"/>
                      <w:szCs w:val="24"/>
                    </w:rPr>
                  </w:pPr>
                  <w:r>
                    <w:rPr>
                      <w:rFonts w:hint="eastAsia"/>
                      <w:color w:val="000000"/>
                      <w:kern w:val="0"/>
                      <w:sz w:val="24"/>
                      <w:szCs w:val="24"/>
                    </w:rPr>
                    <w:t>风电机基础</w:t>
                  </w:r>
                </w:p>
              </w:tc>
              <w:tc>
                <w:tcPr>
                  <w:tcW w:w="864" w:type="pct"/>
                  <w:vAlign w:val="center"/>
                </w:tcPr>
                <w:p>
                  <w:pPr>
                    <w:widowControl/>
                    <w:jc w:val="center"/>
                    <w:textAlignment w:val="bottom"/>
                    <w:rPr>
                      <w:color w:val="000000"/>
                      <w:kern w:val="0"/>
                      <w:sz w:val="24"/>
                      <w:szCs w:val="24"/>
                    </w:rPr>
                  </w:pPr>
                  <w:r>
                    <w:rPr>
                      <w:rFonts w:hint="eastAsia"/>
                      <w:color w:val="000000"/>
                      <w:kern w:val="0"/>
                      <w:sz w:val="24"/>
                      <w:szCs w:val="24"/>
                    </w:rPr>
                    <w:t>14台桩式基础</w:t>
                  </w:r>
                </w:p>
              </w:tc>
              <w:tc>
                <w:tcPr>
                  <w:tcW w:w="852" w:type="pct"/>
                  <w:vAlign w:val="center"/>
                </w:tcPr>
                <w:p>
                  <w:pPr>
                    <w:widowControl/>
                    <w:jc w:val="center"/>
                    <w:textAlignment w:val="bottom"/>
                    <w:rPr>
                      <w:color w:val="000000"/>
                      <w:kern w:val="0"/>
                      <w:sz w:val="24"/>
                      <w:szCs w:val="24"/>
                    </w:rPr>
                  </w:pPr>
                  <w:r>
                    <w:rPr>
                      <w:rFonts w:hint="eastAsia"/>
                      <w:color w:val="000000"/>
                      <w:kern w:val="0"/>
                      <w:sz w:val="24"/>
                      <w:szCs w:val="24"/>
                    </w:rPr>
                    <w:t>14台桩式基础</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restart"/>
                  <w:vAlign w:val="center"/>
                </w:tcPr>
                <w:p>
                  <w:pPr>
                    <w:spacing w:line="316" w:lineRule="exact"/>
                    <w:jc w:val="center"/>
                    <w:rPr>
                      <w:rFonts w:hint="eastAsia" w:ascii="宋体" w:hAnsi="宋体" w:eastAsia="宋体"/>
                      <w:color w:val="000000" w:themeColor="text1"/>
                      <w:sz w:val="24"/>
                      <w:szCs w:val="24"/>
                      <w:lang w:val="en-US" w:eastAsia="zh-CN"/>
                    </w:rPr>
                  </w:pPr>
                  <w:r>
                    <w:rPr>
                      <w:rFonts w:hint="eastAsia" w:ascii="宋体" w:hAnsi="宋体"/>
                      <w:color w:val="000000" w:themeColor="text1"/>
                      <w:sz w:val="24"/>
                      <w:szCs w:val="24"/>
                      <w:lang w:val="en-US" w:eastAsia="zh-CN"/>
                    </w:rPr>
                    <w:t>施工</w:t>
                  </w:r>
                </w:p>
              </w:tc>
              <w:tc>
                <w:tcPr>
                  <w:tcW w:w="700" w:type="pct"/>
                  <w:vMerge w:val="restart"/>
                  <w:vAlign w:val="center"/>
                </w:tcPr>
                <w:p>
                  <w:pPr>
                    <w:widowControl/>
                    <w:jc w:val="center"/>
                    <w:textAlignment w:val="bottom"/>
                    <w:rPr>
                      <w:rFonts w:hint="eastAsia" w:eastAsia="宋体"/>
                      <w:color w:val="000000"/>
                      <w:kern w:val="0"/>
                      <w:sz w:val="24"/>
                      <w:szCs w:val="24"/>
                      <w:lang w:val="en-US" w:eastAsia="zh-CN"/>
                    </w:rPr>
                  </w:pPr>
                  <w:r>
                    <w:rPr>
                      <w:rFonts w:hint="eastAsia"/>
                      <w:color w:val="000000"/>
                      <w:kern w:val="0"/>
                      <w:sz w:val="24"/>
                      <w:szCs w:val="24"/>
                      <w:lang w:val="en-US" w:eastAsia="zh-CN"/>
                    </w:rPr>
                    <w:t>工程量</w:t>
                  </w:r>
                </w:p>
              </w:tc>
              <w:tc>
                <w:tcPr>
                  <w:tcW w:w="880" w:type="pct"/>
                  <w:gridSpan w:val="2"/>
                  <w:vAlign w:val="center"/>
                </w:tcPr>
                <w:p>
                  <w:pPr>
                    <w:pStyle w:val="122"/>
                    <w:spacing w:line="240" w:lineRule="exact"/>
                    <w:rPr>
                      <w:rFonts w:hint="eastAsia"/>
                      <w:color w:val="000000"/>
                      <w:kern w:val="0"/>
                      <w:sz w:val="24"/>
                      <w:szCs w:val="24"/>
                      <w:lang w:val="en-US" w:eastAsia="zh-CN"/>
                    </w:rPr>
                  </w:pPr>
                  <w:r>
                    <w:rPr>
                      <w:sz w:val="24"/>
                      <w:szCs w:val="24"/>
                    </w:rPr>
                    <w:t>土石方开挖</w:t>
                  </w:r>
                </w:p>
              </w:tc>
              <w:tc>
                <w:tcPr>
                  <w:tcW w:w="864" w:type="pct"/>
                  <w:vAlign w:val="center"/>
                </w:tcPr>
                <w:p>
                  <w:pPr>
                    <w:pStyle w:val="122"/>
                    <w:spacing w:line="240" w:lineRule="exact"/>
                    <w:rPr>
                      <w:rFonts w:hint="default" w:eastAsia="宋体"/>
                      <w:color w:val="000000"/>
                      <w:kern w:val="0"/>
                      <w:sz w:val="24"/>
                      <w:szCs w:val="24"/>
                      <w:lang w:val="en-US" w:eastAsia="zh-CN"/>
                    </w:rPr>
                  </w:pPr>
                  <w:r>
                    <w:rPr>
                      <w:sz w:val="24"/>
                      <w:szCs w:val="24"/>
                    </w:rPr>
                    <w:t>100734.0</w:t>
                  </w:r>
                  <w:r>
                    <w:rPr>
                      <w:rFonts w:hint="eastAsia"/>
                      <w:sz w:val="24"/>
                      <w:szCs w:val="24"/>
                      <w:lang w:val="en-US" w:eastAsia="zh-CN"/>
                    </w:rPr>
                    <w:t>8m</w:t>
                  </w:r>
                  <w:r>
                    <w:rPr>
                      <w:rFonts w:hint="eastAsia"/>
                      <w:sz w:val="24"/>
                      <w:szCs w:val="24"/>
                      <w:vertAlign w:val="superscript"/>
                      <w:lang w:val="en-US" w:eastAsia="zh-CN"/>
                    </w:rPr>
                    <w:t>3</w:t>
                  </w:r>
                </w:p>
              </w:tc>
              <w:tc>
                <w:tcPr>
                  <w:tcW w:w="852" w:type="pct"/>
                  <w:vAlign w:val="center"/>
                </w:tcPr>
                <w:p>
                  <w:pPr>
                    <w:pStyle w:val="122"/>
                    <w:spacing w:line="240" w:lineRule="exact"/>
                    <w:rPr>
                      <w:rFonts w:hint="eastAsia"/>
                      <w:color w:val="000000"/>
                      <w:kern w:val="0"/>
                      <w:sz w:val="24"/>
                      <w:szCs w:val="24"/>
                    </w:rPr>
                  </w:pPr>
                  <w:r>
                    <w:rPr>
                      <w:sz w:val="24"/>
                      <w:szCs w:val="24"/>
                    </w:rPr>
                    <w:t>100734.0</w:t>
                  </w:r>
                  <w:r>
                    <w:rPr>
                      <w:rFonts w:hint="eastAsia"/>
                      <w:sz w:val="24"/>
                      <w:szCs w:val="24"/>
                      <w:lang w:val="en-US" w:eastAsia="zh-CN"/>
                    </w:rPr>
                    <w:t>8m</w:t>
                  </w:r>
                  <w:r>
                    <w:rPr>
                      <w:rFonts w:hint="eastAsia"/>
                      <w:sz w:val="24"/>
                      <w:szCs w:val="24"/>
                      <w:vertAlign w:val="superscript"/>
                      <w:lang w:val="en-US" w:eastAsia="zh-CN"/>
                    </w:rPr>
                    <w:t>3</w:t>
                  </w:r>
                </w:p>
              </w:tc>
              <w:tc>
                <w:tcPr>
                  <w:tcW w:w="508" w:type="pct"/>
                  <w:vMerge w:val="restart"/>
                  <w:vAlign w:val="center"/>
                </w:tcPr>
                <w:p>
                  <w:pPr>
                    <w:jc w:val="center"/>
                    <w:rPr>
                      <w:rFonts w:hint="default" w:ascii="宋体" w:hAnsi="宋体" w:eastAsia="宋体"/>
                      <w:color w:val="000000" w:themeColor="text1"/>
                      <w:sz w:val="24"/>
                      <w:szCs w:val="24"/>
                      <w:lang w:val="en-US" w:eastAsia="zh-CN"/>
                    </w:rPr>
                  </w:pPr>
                  <w:r>
                    <w:rPr>
                      <w:rFonts w:hint="eastAsia" w:ascii="宋体" w:hAnsi="宋体"/>
                      <w:color w:val="000000" w:themeColor="text1"/>
                      <w:sz w:val="24"/>
                      <w:szCs w:val="24"/>
                      <w:lang w:val="en-US" w:eastAsia="zh-CN"/>
                    </w:rPr>
                    <w:t>与环评一致</w:t>
                  </w: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rFonts w:hint="eastAsia"/>
                      <w:color w:val="000000"/>
                      <w:kern w:val="0"/>
                      <w:sz w:val="24"/>
                      <w:szCs w:val="24"/>
                    </w:rPr>
                  </w:pPr>
                  <w:r>
                    <w:rPr>
                      <w:sz w:val="24"/>
                      <w:szCs w:val="24"/>
                    </w:rPr>
                    <w:t>土石方回填</w:t>
                  </w:r>
                </w:p>
              </w:tc>
              <w:tc>
                <w:tcPr>
                  <w:tcW w:w="864" w:type="pct"/>
                  <w:vAlign w:val="center"/>
                </w:tcPr>
                <w:p>
                  <w:pPr>
                    <w:pStyle w:val="122"/>
                    <w:spacing w:line="240" w:lineRule="exact"/>
                    <w:rPr>
                      <w:rFonts w:hint="eastAsia"/>
                      <w:color w:val="000000"/>
                      <w:kern w:val="0"/>
                      <w:sz w:val="24"/>
                      <w:szCs w:val="24"/>
                    </w:rPr>
                  </w:pPr>
                  <w:r>
                    <w:rPr>
                      <w:sz w:val="24"/>
                      <w:szCs w:val="24"/>
                    </w:rPr>
                    <w:t>107686.21</w:t>
                  </w:r>
                  <w:r>
                    <w:rPr>
                      <w:rFonts w:hint="eastAsia"/>
                      <w:sz w:val="24"/>
                      <w:szCs w:val="24"/>
                      <w:lang w:val="en-US" w:eastAsia="zh-CN"/>
                    </w:rPr>
                    <w:t>m</w:t>
                  </w:r>
                  <w:r>
                    <w:rPr>
                      <w:rFonts w:hint="eastAsia"/>
                      <w:sz w:val="24"/>
                      <w:szCs w:val="24"/>
                      <w:vertAlign w:val="superscript"/>
                      <w:lang w:val="en-US" w:eastAsia="zh-CN"/>
                    </w:rPr>
                    <w:t>3</w:t>
                  </w:r>
                </w:p>
              </w:tc>
              <w:tc>
                <w:tcPr>
                  <w:tcW w:w="852" w:type="pct"/>
                  <w:vAlign w:val="center"/>
                </w:tcPr>
                <w:p>
                  <w:pPr>
                    <w:pStyle w:val="122"/>
                    <w:spacing w:line="240" w:lineRule="exact"/>
                    <w:rPr>
                      <w:rFonts w:hint="eastAsia"/>
                      <w:color w:val="000000"/>
                      <w:kern w:val="0"/>
                      <w:sz w:val="24"/>
                      <w:szCs w:val="24"/>
                    </w:rPr>
                  </w:pPr>
                  <w:r>
                    <w:rPr>
                      <w:sz w:val="24"/>
                      <w:szCs w:val="24"/>
                    </w:rPr>
                    <w:t>107686.21</w:t>
                  </w:r>
                  <w:r>
                    <w:rPr>
                      <w:rFonts w:hint="eastAsia"/>
                      <w:sz w:val="24"/>
                      <w:szCs w:val="24"/>
                      <w:lang w:val="en-US" w:eastAsia="zh-CN"/>
                    </w:rPr>
                    <w:t>m</w:t>
                  </w:r>
                  <w:r>
                    <w:rPr>
                      <w:rFonts w:hint="eastAsia"/>
                      <w:sz w:val="24"/>
                      <w:szCs w:val="24"/>
                      <w:vertAlign w:val="superscript"/>
                      <w:lang w:val="en-US" w:eastAsia="zh-CN"/>
                    </w:rPr>
                    <w:t>3</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rFonts w:hint="eastAsia"/>
                      <w:color w:val="000000"/>
                      <w:kern w:val="0"/>
                      <w:sz w:val="24"/>
                      <w:szCs w:val="24"/>
                    </w:rPr>
                  </w:pPr>
                  <w:r>
                    <w:rPr>
                      <w:sz w:val="24"/>
                      <w:szCs w:val="24"/>
                    </w:rPr>
                    <w:t>混凝土</w:t>
                  </w:r>
                </w:p>
              </w:tc>
              <w:tc>
                <w:tcPr>
                  <w:tcW w:w="864" w:type="pct"/>
                  <w:vAlign w:val="center"/>
                </w:tcPr>
                <w:p>
                  <w:pPr>
                    <w:pStyle w:val="122"/>
                    <w:spacing w:line="240" w:lineRule="exact"/>
                    <w:rPr>
                      <w:rFonts w:hint="eastAsia"/>
                      <w:color w:val="000000"/>
                      <w:kern w:val="0"/>
                      <w:sz w:val="24"/>
                      <w:szCs w:val="24"/>
                    </w:rPr>
                  </w:pPr>
                  <w:r>
                    <w:rPr>
                      <w:sz w:val="24"/>
                      <w:szCs w:val="24"/>
                    </w:rPr>
                    <w:t>23476.02</w:t>
                  </w:r>
                  <w:r>
                    <w:rPr>
                      <w:rFonts w:hint="eastAsia"/>
                      <w:sz w:val="24"/>
                      <w:szCs w:val="24"/>
                      <w:lang w:val="en-US" w:eastAsia="zh-CN"/>
                    </w:rPr>
                    <w:t>m</w:t>
                  </w:r>
                  <w:r>
                    <w:rPr>
                      <w:rFonts w:hint="eastAsia"/>
                      <w:sz w:val="24"/>
                      <w:szCs w:val="24"/>
                      <w:vertAlign w:val="superscript"/>
                      <w:lang w:val="en-US" w:eastAsia="zh-CN"/>
                    </w:rPr>
                    <w:t>3</w:t>
                  </w:r>
                </w:p>
              </w:tc>
              <w:tc>
                <w:tcPr>
                  <w:tcW w:w="852" w:type="pct"/>
                  <w:vAlign w:val="center"/>
                </w:tcPr>
                <w:p>
                  <w:pPr>
                    <w:pStyle w:val="122"/>
                    <w:spacing w:line="240" w:lineRule="exact"/>
                    <w:rPr>
                      <w:rFonts w:hint="eastAsia"/>
                      <w:color w:val="000000"/>
                      <w:kern w:val="0"/>
                      <w:sz w:val="24"/>
                      <w:szCs w:val="24"/>
                    </w:rPr>
                  </w:pPr>
                  <w:r>
                    <w:rPr>
                      <w:sz w:val="24"/>
                      <w:szCs w:val="24"/>
                    </w:rPr>
                    <w:t>23476.02</w:t>
                  </w:r>
                  <w:r>
                    <w:rPr>
                      <w:rFonts w:hint="eastAsia"/>
                      <w:sz w:val="24"/>
                      <w:szCs w:val="24"/>
                      <w:lang w:val="en-US" w:eastAsia="zh-CN"/>
                    </w:rPr>
                    <w:t>m</w:t>
                  </w:r>
                  <w:r>
                    <w:rPr>
                      <w:rFonts w:hint="eastAsia"/>
                      <w:sz w:val="24"/>
                      <w:szCs w:val="24"/>
                      <w:vertAlign w:val="superscript"/>
                      <w:lang w:val="en-US" w:eastAsia="zh-CN"/>
                    </w:rPr>
                    <w:t>3</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rFonts w:hint="eastAsia"/>
                      <w:color w:val="000000"/>
                      <w:kern w:val="0"/>
                      <w:sz w:val="24"/>
                      <w:szCs w:val="24"/>
                    </w:rPr>
                  </w:pPr>
                  <w:r>
                    <w:rPr>
                      <w:sz w:val="24"/>
                      <w:szCs w:val="24"/>
                    </w:rPr>
                    <w:t>钢筋</w:t>
                  </w:r>
                </w:p>
              </w:tc>
              <w:tc>
                <w:tcPr>
                  <w:tcW w:w="864" w:type="pct"/>
                  <w:vAlign w:val="center"/>
                </w:tcPr>
                <w:p>
                  <w:pPr>
                    <w:pStyle w:val="122"/>
                    <w:spacing w:line="240" w:lineRule="exact"/>
                    <w:rPr>
                      <w:rFonts w:hint="eastAsia" w:eastAsia="宋体"/>
                      <w:color w:val="000000"/>
                      <w:kern w:val="0"/>
                      <w:sz w:val="24"/>
                      <w:szCs w:val="24"/>
                      <w:lang w:val="en-US" w:eastAsia="zh-CN"/>
                    </w:rPr>
                  </w:pPr>
                  <w:r>
                    <w:rPr>
                      <w:sz w:val="24"/>
                      <w:szCs w:val="24"/>
                    </w:rPr>
                    <w:t>1829.37</w:t>
                  </w:r>
                  <w:r>
                    <w:rPr>
                      <w:rFonts w:hint="eastAsia"/>
                      <w:sz w:val="24"/>
                      <w:szCs w:val="24"/>
                      <w:lang w:val="en-US" w:eastAsia="zh-CN"/>
                    </w:rPr>
                    <w:t>t</w:t>
                  </w:r>
                </w:p>
              </w:tc>
              <w:tc>
                <w:tcPr>
                  <w:tcW w:w="852" w:type="pct"/>
                  <w:vAlign w:val="center"/>
                </w:tcPr>
                <w:p>
                  <w:pPr>
                    <w:pStyle w:val="122"/>
                    <w:spacing w:line="240" w:lineRule="exact"/>
                    <w:rPr>
                      <w:rFonts w:hint="eastAsia"/>
                      <w:color w:val="000000"/>
                      <w:kern w:val="0"/>
                      <w:sz w:val="24"/>
                      <w:szCs w:val="24"/>
                    </w:rPr>
                  </w:pPr>
                  <w:r>
                    <w:rPr>
                      <w:sz w:val="24"/>
                      <w:szCs w:val="24"/>
                    </w:rPr>
                    <w:t>1829.37</w:t>
                  </w:r>
                  <w:r>
                    <w:rPr>
                      <w:rFonts w:hint="eastAsia"/>
                      <w:sz w:val="24"/>
                      <w:szCs w:val="24"/>
                      <w:lang w:val="en-US" w:eastAsia="zh-CN"/>
                    </w:rPr>
                    <w:t>t</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sz w:val="24"/>
                      <w:szCs w:val="24"/>
                    </w:rPr>
                  </w:pPr>
                  <w:r>
                    <w:rPr>
                      <w:sz w:val="24"/>
                      <w:szCs w:val="24"/>
                    </w:rPr>
                    <w:t>新建道路</w:t>
                  </w:r>
                </w:p>
              </w:tc>
              <w:tc>
                <w:tcPr>
                  <w:tcW w:w="864" w:type="pct"/>
                  <w:vAlign w:val="center"/>
                </w:tcPr>
                <w:p>
                  <w:pPr>
                    <w:pStyle w:val="122"/>
                    <w:spacing w:line="240" w:lineRule="exact"/>
                    <w:rPr>
                      <w:sz w:val="24"/>
                      <w:szCs w:val="24"/>
                    </w:rPr>
                  </w:pPr>
                  <w:r>
                    <w:rPr>
                      <w:sz w:val="24"/>
                      <w:szCs w:val="24"/>
                    </w:rPr>
                    <w:t>3.48</w:t>
                  </w:r>
                  <w:r>
                    <w:rPr>
                      <w:rFonts w:hint="eastAsia"/>
                      <w:sz w:val="24"/>
                      <w:szCs w:val="24"/>
                      <w:lang w:val="en-US" w:eastAsia="zh-CN"/>
                    </w:rPr>
                    <w:t>km</w:t>
                  </w:r>
                </w:p>
              </w:tc>
              <w:tc>
                <w:tcPr>
                  <w:tcW w:w="852" w:type="pct"/>
                  <w:vAlign w:val="center"/>
                </w:tcPr>
                <w:p>
                  <w:pPr>
                    <w:pStyle w:val="122"/>
                    <w:spacing w:line="240" w:lineRule="exact"/>
                    <w:rPr>
                      <w:rFonts w:hint="eastAsia"/>
                      <w:color w:val="000000"/>
                      <w:kern w:val="0"/>
                      <w:sz w:val="24"/>
                      <w:szCs w:val="24"/>
                    </w:rPr>
                  </w:pPr>
                  <w:r>
                    <w:rPr>
                      <w:sz w:val="24"/>
                      <w:szCs w:val="24"/>
                    </w:rPr>
                    <w:t>3.48</w:t>
                  </w:r>
                  <w:r>
                    <w:rPr>
                      <w:rFonts w:hint="eastAsia"/>
                      <w:sz w:val="24"/>
                      <w:szCs w:val="24"/>
                      <w:lang w:val="en-US" w:eastAsia="zh-CN"/>
                    </w:rPr>
                    <w:t>km</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rFonts w:hint="eastAsia"/>
                      <w:color w:val="000000"/>
                      <w:kern w:val="0"/>
                      <w:sz w:val="24"/>
                      <w:szCs w:val="24"/>
                    </w:rPr>
                  </w:pPr>
                  <w:r>
                    <w:rPr>
                      <w:rFonts w:hint="eastAsia"/>
                      <w:sz w:val="24"/>
                      <w:szCs w:val="24"/>
                      <w:lang w:val="en-US" w:eastAsia="zh-CN"/>
                    </w:rPr>
                    <w:t>改</w:t>
                  </w:r>
                  <w:r>
                    <w:rPr>
                      <w:sz w:val="24"/>
                      <w:szCs w:val="24"/>
                    </w:rPr>
                    <w:t>新建道路</w:t>
                  </w:r>
                </w:p>
              </w:tc>
              <w:tc>
                <w:tcPr>
                  <w:tcW w:w="864" w:type="pct"/>
                  <w:vAlign w:val="center"/>
                </w:tcPr>
                <w:p>
                  <w:pPr>
                    <w:pStyle w:val="122"/>
                    <w:spacing w:line="240" w:lineRule="exact"/>
                    <w:rPr>
                      <w:rFonts w:hint="default" w:eastAsia="宋体"/>
                      <w:color w:val="000000"/>
                      <w:kern w:val="0"/>
                      <w:sz w:val="24"/>
                      <w:szCs w:val="24"/>
                      <w:lang w:val="en-US" w:eastAsia="zh-CN"/>
                    </w:rPr>
                  </w:pPr>
                  <w:r>
                    <w:rPr>
                      <w:rFonts w:hint="eastAsia"/>
                      <w:sz w:val="24"/>
                      <w:szCs w:val="24"/>
                      <w:lang w:val="en-US" w:eastAsia="zh-CN"/>
                    </w:rPr>
                    <w:t>21.08km</w:t>
                  </w:r>
                </w:p>
              </w:tc>
              <w:tc>
                <w:tcPr>
                  <w:tcW w:w="852" w:type="pct"/>
                  <w:vAlign w:val="center"/>
                </w:tcPr>
                <w:p>
                  <w:pPr>
                    <w:pStyle w:val="122"/>
                    <w:spacing w:line="240" w:lineRule="exact"/>
                    <w:rPr>
                      <w:rFonts w:hint="eastAsia"/>
                      <w:color w:val="000000"/>
                      <w:kern w:val="0"/>
                      <w:sz w:val="24"/>
                      <w:szCs w:val="24"/>
                    </w:rPr>
                  </w:pPr>
                  <w:r>
                    <w:rPr>
                      <w:rFonts w:hint="eastAsia"/>
                      <w:sz w:val="24"/>
                      <w:szCs w:val="24"/>
                      <w:lang w:val="en-US" w:eastAsia="zh-CN"/>
                    </w:rPr>
                    <w:t>21.08km</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restart"/>
                  <w:vAlign w:val="center"/>
                </w:tcPr>
                <w:p>
                  <w:pPr>
                    <w:widowControl/>
                    <w:jc w:val="center"/>
                    <w:textAlignment w:val="bottom"/>
                    <w:rPr>
                      <w:rFonts w:hint="default" w:eastAsia="宋体"/>
                      <w:color w:val="000000"/>
                      <w:kern w:val="0"/>
                      <w:sz w:val="24"/>
                      <w:szCs w:val="24"/>
                      <w:lang w:val="en-US" w:eastAsia="zh-CN"/>
                    </w:rPr>
                  </w:pPr>
                  <w:r>
                    <w:rPr>
                      <w:rFonts w:hint="eastAsia"/>
                      <w:color w:val="000000"/>
                      <w:kern w:val="0"/>
                      <w:sz w:val="24"/>
                      <w:szCs w:val="24"/>
                      <w:lang w:val="en-US" w:eastAsia="zh-CN"/>
                    </w:rPr>
                    <w:t>施工期限</w:t>
                  </w:r>
                </w:p>
              </w:tc>
              <w:tc>
                <w:tcPr>
                  <w:tcW w:w="880" w:type="pct"/>
                  <w:gridSpan w:val="2"/>
                  <w:vAlign w:val="center"/>
                </w:tcPr>
                <w:p>
                  <w:pPr>
                    <w:pStyle w:val="122"/>
                    <w:spacing w:line="240" w:lineRule="exact"/>
                    <w:rPr>
                      <w:rFonts w:hint="eastAsia"/>
                      <w:color w:val="000000"/>
                      <w:kern w:val="0"/>
                      <w:sz w:val="24"/>
                      <w:szCs w:val="24"/>
                    </w:rPr>
                  </w:pPr>
                  <w:r>
                    <w:rPr>
                      <w:sz w:val="24"/>
                      <w:szCs w:val="24"/>
                    </w:rPr>
                    <w:t>总工期</w:t>
                  </w:r>
                </w:p>
              </w:tc>
              <w:tc>
                <w:tcPr>
                  <w:tcW w:w="864" w:type="pct"/>
                  <w:vAlign w:val="center"/>
                </w:tcPr>
                <w:p>
                  <w:pPr>
                    <w:pStyle w:val="122"/>
                    <w:spacing w:line="240" w:lineRule="exact"/>
                    <w:rPr>
                      <w:rFonts w:hint="default" w:eastAsia="宋体"/>
                      <w:color w:val="000000"/>
                      <w:kern w:val="0"/>
                      <w:sz w:val="24"/>
                      <w:szCs w:val="24"/>
                      <w:lang w:val="en-US" w:eastAsia="zh-CN"/>
                    </w:rPr>
                  </w:pPr>
                  <w:r>
                    <w:rPr>
                      <w:rFonts w:hint="eastAsia"/>
                      <w:sz w:val="24"/>
                      <w:szCs w:val="24"/>
                      <w:lang w:val="en-US" w:eastAsia="zh-CN"/>
                    </w:rPr>
                    <w:t>12月</w:t>
                  </w:r>
                </w:p>
              </w:tc>
              <w:tc>
                <w:tcPr>
                  <w:tcW w:w="852" w:type="pct"/>
                  <w:vAlign w:val="center"/>
                </w:tcPr>
                <w:p>
                  <w:pPr>
                    <w:pStyle w:val="122"/>
                    <w:spacing w:line="240" w:lineRule="exact"/>
                    <w:rPr>
                      <w:rFonts w:hint="eastAsia"/>
                      <w:color w:val="000000"/>
                      <w:kern w:val="0"/>
                      <w:sz w:val="24"/>
                      <w:szCs w:val="24"/>
                    </w:rPr>
                  </w:pPr>
                  <w:r>
                    <w:rPr>
                      <w:rFonts w:hint="eastAsia"/>
                      <w:sz w:val="24"/>
                      <w:szCs w:val="24"/>
                      <w:lang w:val="en-US" w:eastAsia="zh-CN"/>
                    </w:rPr>
                    <w:t>12月</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 w:type="pct"/>
                  <w:vMerge w:val="continue"/>
                  <w:vAlign w:val="center"/>
                </w:tcPr>
                <w:p>
                  <w:pPr>
                    <w:spacing w:line="316" w:lineRule="exact"/>
                    <w:jc w:val="center"/>
                    <w:rPr>
                      <w:rFonts w:ascii="宋体" w:hAnsi="宋体"/>
                      <w:color w:val="000000" w:themeColor="text1"/>
                      <w:sz w:val="24"/>
                      <w:szCs w:val="24"/>
                    </w:rPr>
                  </w:pPr>
                </w:p>
              </w:tc>
              <w:tc>
                <w:tcPr>
                  <w:tcW w:w="700" w:type="pct"/>
                  <w:vMerge w:val="continue"/>
                  <w:vAlign w:val="center"/>
                </w:tcPr>
                <w:p>
                  <w:pPr>
                    <w:widowControl/>
                    <w:jc w:val="center"/>
                    <w:textAlignment w:val="bottom"/>
                    <w:rPr>
                      <w:rFonts w:hint="eastAsia"/>
                      <w:color w:val="000000"/>
                      <w:kern w:val="0"/>
                      <w:sz w:val="24"/>
                      <w:szCs w:val="24"/>
                    </w:rPr>
                  </w:pPr>
                </w:p>
              </w:tc>
              <w:tc>
                <w:tcPr>
                  <w:tcW w:w="880" w:type="pct"/>
                  <w:gridSpan w:val="2"/>
                  <w:vAlign w:val="center"/>
                </w:tcPr>
                <w:p>
                  <w:pPr>
                    <w:pStyle w:val="122"/>
                    <w:spacing w:line="240" w:lineRule="exact"/>
                    <w:rPr>
                      <w:rFonts w:hint="eastAsia"/>
                      <w:color w:val="000000"/>
                      <w:kern w:val="0"/>
                      <w:sz w:val="24"/>
                      <w:szCs w:val="24"/>
                    </w:rPr>
                  </w:pPr>
                  <w:r>
                    <w:rPr>
                      <w:sz w:val="24"/>
                      <w:szCs w:val="24"/>
                    </w:rPr>
                    <w:t>第一批机组发电</w:t>
                  </w:r>
                </w:p>
              </w:tc>
              <w:tc>
                <w:tcPr>
                  <w:tcW w:w="864" w:type="pct"/>
                  <w:vAlign w:val="center"/>
                </w:tcPr>
                <w:p>
                  <w:pPr>
                    <w:pStyle w:val="122"/>
                    <w:spacing w:line="240" w:lineRule="exact"/>
                    <w:rPr>
                      <w:rFonts w:hint="eastAsia" w:eastAsia="宋体"/>
                      <w:color w:val="000000"/>
                      <w:kern w:val="0"/>
                      <w:sz w:val="24"/>
                      <w:szCs w:val="24"/>
                      <w:lang w:val="en-US" w:eastAsia="zh-CN"/>
                    </w:rPr>
                  </w:pPr>
                  <w:r>
                    <w:rPr>
                      <w:sz w:val="24"/>
                      <w:szCs w:val="24"/>
                    </w:rPr>
                    <w:t>12</w:t>
                  </w:r>
                  <w:r>
                    <w:rPr>
                      <w:rFonts w:hint="eastAsia"/>
                      <w:sz w:val="24"/>
                      <w:szCs w:val="24"/>
                      <w:lang w:val="en-US" w:eastAsia="zh-CN"/>
                    </w:rPr>
                    <w:t>月</w:t>
                  </w:r>
                </w:p>
              </w:tc>
              <w:tc>
                <w:tcPr>
                  <w:tcW w:w="852" w:type="pct"/>
                  <w:vAlign w:val="center"/>
                </w:tcPr>
                <w:p>
                  <w:pPr>
                    <w:pStyle w:val="122"/>
                    <w:spacing w:line="240" w:lineRule="exact"/>
                    <w:rPr>
                      <w:rFonts w:hint="eastAsia"/>
                      <w:color w:val="000000"/>
                      <w:kern w:val="0"/>
                      <w:sz w:val="24"/>
                      <w:szCs w:val="24"/>
                    </w:rPr>
                  </w:pPr>
                  <w:r>
                    <w:rPr>
                      <w:sz w:val="24"/>
                      <w:szCs w:val="24"/>
                    </w:rPr>
                    <w:t>12</w:t>
                  </w:r>
                  <w:r>
                    <w:rPr>
                      <w:rFonts w:hint="eastAsia"/>
                      <w:sz w:val="24"/>
                      <w:szCs w:val="24"/>
                      <w:lang w:val="en-US" w:eastAsia="zh-CN"/>
                    </w:rPr>
                    <w:t>月</w:t>
                  </w:r>
                </w:p>
              </w:tc>
              <w:tc>
                <w:tcPr>
                  <w:tcW w:w="508" w:type="pct"/>
                  <w:vMerge w:val="continue"/>
                  <w:vAlign w:val="center"/>
                </w:tcPr>
                <w:p>
                  <w:pPr>
                    <w:jc w:val="center"/>
                    <w:rPr>
                      <w:rFonts w:ascii="宋体" w:hAnsi="宋体"/>
                      <w:color w:val="000000" w:themeColor="text1"/>
                      <w:sz w:val="24"/>
                      <w:szCs w:val="24"/>
                    </w:rPr>
                  </w:pPr>
                </w:p>
              </w:tc>
              <w:tc>
                <w:tcPr>
                  <w:tcW w:w="850" w:type="pct"/>
                  <w:vAlign w:val="center"/>
                </w:tcPr>
                <w:p>
                  <w:pPr>
                    <w:spacing w:line="436" w:lineRule="exact"/>
                    <w:jc w:val="center"/>
                    <w:rPr>
                      <w:rFonts w:ascii="宋体" w:hAnsi="宋体"/>
                      <w:color w:val="000000" w:themeColor="text1"/>
                      <w:sz w:val="24"/>
                      <w:szCs w:val="24"/>
                    </w:rPr>
                  </w:pPr>
                  <w:r>
                    <w:rPr>
                      <w:rFonts w:ascii="宋体" w:hAnsi="宋体"/>
                      <w:color w:val="000000" w:themeColor="text1"/>
                      <w:sz w:val="24"/>
                      <w:szCs w:val="24"/>
                    </w:rPr>
                    <w:t>/</w:t>
                  </w:r>
                </w:p>
              </w:tc>
            </w:tr>
            <w:bookmarkEnd w:id="7"/>
          </w:tbl>
          <w:p>
            <w:pPr>
              <w:rPr>
                <w:sz w:val="24"/>
              </w:rPr>
            </w:pPr>
          </w:p>
          <w:p>
            <w:pPr>
              <w:spacing w:line="360" w:lineRule="auto"/>
              <w:ind w:right="-71" w:rightChars="-34"/>
              <w:rPr>
                <w:b/>
                <w:sz w:val="28"/>
                <w:szCs w:val="28"/>
              </w:rPr>
            </w:pPr>
            <w:r>
              <w:rPr>
                <w:rFonts w:hint="eastAsia"/>
                <w:b/>
                <w:sz w:val="28"/>
                <w:szCs w:val="28"/>
              </w:rPr>
              <w:t>4</w:t>
            </w:r>
            <w:r>
              <w:rPr>
                <w:b/>
                <w:sz w:val="28"/>
                <w:szCs w:val="28"/>
              </w:rPr>
              <w:t>.2水源及水平衡图</w:t>
            </w:r>
          </w:p>
          <w:p>
            <w:pPr>
              <w:spacing w:line="360" w:lineRule="auto"/>
              <w:ind w:firstLine="480" w:firstLineChars="200"/>
              <w:rPr>
                <w:rFonts w:hint="eastAsia"/>
                <w:sz w:val="24"/>
              </w:rPr>
            </w:pPr>
            <w:r>
              <w:rPr>
                <w:rFonts w:hint="eastAsia"/>
                <w:sz w:val="24"/>
              </w:rPr>
              <w:t>本项目用水主要来源于当地自来水，生活污水定期清运。根据实际建设情况，项目水平衡图见图4.1。</w:t>
            </w:r>
          </w:p>
          <w:p>
            <w:pPr>
              <w:pStyle w:val="2"/>
              <w:rPr>
                <w:rFonts w:hint="eastAsia"/>
              </w:rPr>
            </w:pPr>
          </w:p>
          <w:p>
            <w:pPr>
              <w:spacing w:line="360" w:lineRule="auto"/>
              <w:jc w:val="center"/>
              <w:rPr>
                <w:sz w:val="24"/>
              </w:rPr>
            </w:pPr>
            <w:r>
              <w:drawing>
                <wp:inline distT="0" distB="0" distL="114300" distR="114300">
                  <wp:extent cx="5162550" cy="1704975"/>
                  <wp:effectExtent l="0" t="0" r="0" b="952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9"/>
                          <a:stretch>
                            <a:fillRect/>
                          </a:stretch>
                        </pic:blipFill>
                        <pic:spPr>
                          <a:xfrm>
                            <a:off x="0" y="0"/>
                            <a:ext cx="5162550" cy="1704975"/>
                          </a:xfrm>
                          <a:prstGeom prst="rect">
                            <a:avLst/>
                          </a:prstGeom>
                          <a:noFill/>
                          <a:ln>
                            <a:noFill/>
                          </a:ln>
                        </pic:spPr>
                      </pic:pic>
                    </a:graphicData>
                  </a:graphic>
                </wp:inline>
              </w:drawing>
            </w:r>
          </w:p>
          <w:p>
            <w:pPr>
              <w:jc w:val="center"/>
              <w:rPr>
                <w:sz w:val="24"/>
              </w:rPr>
            </w:pPr>
            <w:r>
              <w:rPr>
                <w:rFonts w:hint="eastAsia"/>
                <w:sz w:val="24"/>
              </w:rPr>
              <w:t>图4.1项目水平衡图（单位：t/a）</w:t>
            </w:r>
          </w:p>
          <w:p>
            <w:pPr>
              <w:rPr>
                <w:bCs/>
                <w:sz w:val="24"/>
              </w:rPr>
            </w:pPr>
          </w:p>
          <w:p>
            <w:pPr>
              <w:spacing w:line="360" w:lineRule="auto"/>
              <w:ind w:right="-71" w:rightChars="-34"/>
              <w:rPr>
                <w:b/>
                <w:sz w:val="28"/>
                <w:szCs w:val="28"/>
              </w:rPr>
            </w:pPr>
            <w:r>
              <w:rPr>
                <w:rFonts w:hint="eastAsia"/>
                <w:b/>
                <w:sz w:val="28"/>
                <w:szCs w:val="28"/>
              </w:rPr>
              <w:t>4</w:t>
            </w:r>
            <w:r>
              <w:rPr>
                <w:b/>
                <w:sz w:val="28"/>
                <w:szCs w:val="28"/>
              </w:rPr>
              <w:t>.3 主要生产工艺及污染物产出环节流程</w:t>
            </w:r>
          </w:p>
          <w:p>
            <w:pPr>
              <w:adjustRightInd w:val="0"/>
              <w:snapToGrid w:val="0"/>
              <w:spacing w:line="496" w:lineRule="exact"/>
              <w:ind w:firstLine="480" w:firstLineChars="200"/>
              <w:rPr>
                <w:rFonts w:hint="eastAsia"/>
                <w:sz w:val="24"/>
              </w:rPr>
            </w:pPr>
            <w:r>
              <w:rPr>
                <w:rFonts w:hint="eastAsia"/>
                <w:sz w:val="24"/>
              </w:rPr>
              <w:t>项目实际生产工艺同环评一致，见下图4</w:t>
            </w:r>
            <w:r>
              <w:rPr>
                <w:sz w:val="24"/>
              </w:rPr>
              <w:t>.</w:t>
            </w:r>
            <w:r>
              <w:rPr>
                <w:rFonts w:hint="eastAsia"/>
                <w:sz w:val="24"/>
              </w:rPr>
              <w:t>2。</w:t>
            </w:r>
          </w:p>
          <w:p>
            <w:pPr>
              <w:adjustRightInd w:val="0"/>
              <w:snapToGrid w:val="0"/>
              <w:spacing w:line="496" w:lineRule="exact"/>
              <w:ind w:firstLine="420" w:firstLineChars="200"/>
              <w:rPr>
                <w:sz w:val="24"/>
              </w:rPr>
            </w:pPr>
            <w:r>
              <w:drawing>
                <wp:anchor distT="0" distB="0" distL="114300" distR="114300" simplePos="0" relativeHeight="251659264" behindDoc="1" locked="0" layoutInCell="1" allowOverlap="1">
                  <wp:simplePos x="0" y="0"/>
                  <wp:positionH relativeFrom="column">
                    <wp:posOffset>502920</wp:posOffset>
                  </wp:positionH>
                  <wp:positionV relativeFrom="paragraph">
                    <wp:posOffset>19050</wp:posOffset>
                  </wp:positionV>
                  <wp:extent cx="4961255" cy="3882390"/>
                  <wp:effectExtent l="0" t="0" r="10795" b="381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cstate="print"/>
                          <a:stretch>
                            <a:fillRect/>
                          </a:stretch>
                        </pic:blipFill>
                        <pic:spPr>
                          <a:xfrm>
                            <a:off x="0" y="0"/>
                            <a:ext cx="4961255" cy="3882390"/>
                          </a:xfrm>
                          <a:prstGeom prst="rect">
                            <a:avLst/>
                          </a:prstGeom>
                          <a:noFill/>
                          <a:ln>
                            <a:noFill/>
                          </a:ln>
                        </pic:spPr>
                      </pic:pic>
                    </a:graphicData>
                  </a:graphic>
                </wp:anchor>
              </w:drawing>
            </w: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adjustRightInd w:val="0"/>
              <w:snapToGrid w:val="0"/>
              <w:spacing w:line="496" w:lineRule="exact"/>
              <w:ind w:firstLine="480" w:firstLineChars="200"/>
              <w:rPr>
                <w:sz w:val="24"/>
              </w:rPr>
            </w:pPr>
          </w:p>
          <w:p>
            <w:pPr>
              <w:pStyle w:val="2"/>
            </w:pPr>
          </w:p>
          <w:p>
            <w:pPr>
              <w:jc w:val="center"/>
              <w:rPr>
                <w:sz w:val="24"/>
              </w:rPr>
            </w:pPr>
          </w:p>
          <w:p>
            <w:pPr>
              <w:jc w:val="center"/>
              <w:rPr>
                <w:sz w:val="24"/>
              </w:rPr>
            </w:pPr>
          </w:p>
          <w:p>
            <w:pPr>
              <w:jc w:val="center"/>
              <w:rPr>
                <w:sz w:val="24"/>
              </w:rPr>
            </w:pPr>
          </w:p>
          <w:p>
            <w:pPr>
              <w:jc w:val="center"/>
              <w:rPr>
                <w:sz w:val="24"/>
              </w:rPr>
            </w:pPr>
          </w:p>
          <w:p>
            <w:pPr>
              <w:jc w:val="center"/>
              <w:rPr>
                <w:sz w:val="24"/>
              </w:rPr>
            </w:pPr>
          </w:p>
          <w:p>
            <w:pPr>
              <w:rPr>
                <w:sz w:val="24"/>
              </w:rPr>
            </w:pPr>
          </w:p>
          <w:p>
            <w:pPr>
              <w:jc w:val="center"/>
              <w:rPr>
                <w:sz w:val="24"/>
              </w:rPr>
            </w:pPr>
            <w:r>
              <w:rPr>
                <w:rFonts w:hint="eastAsia"/>
                <w:sz w:val="24"/>
              </w:rPr>
              <w:t>4.2工艺流程图</w:t>
            </w:r>
          </w:p>
          <w:p>
            <w:pPr>
              <w:spacing w:line="540" w:lineRule="exact"/>
              <w:ind w:firstLine="480" w:firstLineChars="200"/>
              <w:rPr>
                <w:bCs/>
                <w:sz w:val="24"/>
              </w:rPr>
            </w:pPr>
            <w:r>
              <w:rPr>
                <w:bCs/>
                <w:sz w:val="24"/>
              </w:rPr>
              <w:t xml:space="preserve">风力发电是一种不消耗矿物能源、比较清洁的生产项目，在生产运行过程中不产生废气、废水和废渣等污染物，此类项目对环境的影响主要在噪声、光影和生态等方面： </w:t>
            </w:r>
          </w:p>
          <w:p>
            <w:pPr>
              <w:spacing w:line="540" w:lineRule="exact"/>
              <w:ind w:firstLine="480" w:firstLineChars="200"/>
              <w:rPr>
                <w:bCs/>
                <w:sz w:val="24"/>
              </w:rPr>
            </w:pPr>
            <w:r>
              <w:rPr>
                <w:bCs/>
                <w:sz w:val="24"/>
              </w:rPr>
              <w:t>（1）设备运行噪声。</w:t>
            </w:r>
          </w:p>
          <w:p>
            <w:pPr>
              <w:spacing w:line="540" w:lineRule="exact"/>
              <w:ind w:firstLine="480" w:firstLineChars="200"/>
              <w:rPr>
                <w:bCs/>
                <w:sz w:val="24"/>
              </w:rPr>
            </w:pPr>
            <w:r>
              <w:rPr>
                <w:bCs/>
                <w:sz w:val="24"/>
              </w:rPr>
              <w:t>（2）设备维修产生的废弃物、机修固废和</w:t>
            </w:r>
            <w:r>
              <w:rPr>
                <w:sz w:val="24"/>
              </w:rPr>
              <w:t>变压器事故废油</w:t>
            </w:r>
            <w:r>
              <w:rPr>
                <w:bCs/>
                <w:sz w:val="24"/>
              </w:rPr>
              <w:t>等。</w:t>
            </w:r>
          </w:p>
          <w:p>
            <w:pPr>
              <w:spacing w:line="540" w:lineRule="exact"/>
              <w:ind w:firstLine="480" w:firstLineChars="200"/>
              <w:rPr>
                <w:bCs/>
                <w:sz w:val="24"/>
              </w:rPr>
            </w:pPr>
            <w:r>
              <w:rPr>
                <w:bCs/>
                <w:sz w:val="24"/>
              </w:rPr>
              <w:t>（3）风力发电机对风力流场的影响。</w:t>
            </w:r>
          </w:p>
          <w:p>
            <w:pPr>
              <w:spacing w:line="540" w:lineRule="exact"/>
              <w:ind w:firstLine="480" w:firstLineChars="200"/>
              <w:rPr>
                <w:bCs/>
                <w:sz w:val="24"/>
              </w:rPr>
            </w:pPr>
            <w:r>
              <w:rPr>
                <w:bCs/>
                <w:sz w:val="24"/>
              </w:rPr>
              <w:t>（4）风力发电机对光影和生态等方面的影响。</w:t>
            </w:r>
          </w:p>
          <w:p>
            <w:pPr>
              <w:autoSpaceDE w:val="0"/>
              <w:autoSpaceDN w:val="0"/>
              <w:spacing w:line="360" w:lineRule="auto"/>
              <w:rPr>
                <w:b/>
                <w:sz w:val="28"/>
                <w:szCs w:val="28"/>
              </w:rPr>
            </w:pPr>
            <w:r>
              <w:rPr>
                <w:rFonts w:hint="eastAsia"/>
                <w:b/>
                <w:sz w:val="28"/>
                <w:szCs w:val="28"/>
              </w:rPr>
              <w:t>4</w:t>
            </w:r>
            <w:r>
              <w:rPr>
                <w:b/>
                <w:sz w:val="28"/>
                <w:szCs w:val="28"/>
              </w:rPr>
              <w:t>.4 项目变动情况环境影响分析</w:t>
            </w:r>
          </w:p>
          <w:p>
            <w:pPr>
              <w:jc w:val="center"/>
              <w:rPr>
                <w:sz w:val="24"/>
              </w:rPr>
            </w:pPr>
            <w:r>
              <w:rPr>
                <w:rFonts w:hint="eastAsia"/>
                <w:sz w:val="24"/>
              </w:rPr>
              <w:t>表4.4项目变动情况一览表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79"/>
              <w:gridCol w:w="4965"/>
              <w:gridCol w:w="379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 w:val="24"/>
                      <w:szCs w:val="24"/>
                    </w:rPr>
                  </w:pPr>
                  <w:r>
                    <w:rPr>
                      <w:sz w:val="24"/>
                      <w:szCs w:val="24"/>
                    </w:rPr>
                    <w:t>类别</w:t>
                  </w:r>
                </w:p>
              </w:tc>
              <w:tc>
                <w:tcPr>
                  <w:tcW w:w="2575" w:type="pct"/>
                  <w:vAlign w:val="center"/>
                </w:tcPr>
                <w:p>
                  <w:pPr>
                    <w:jc w:val="center"/>
                    <w:rPr>
                      <w:sz w:val="24"/>
                      <w:szCs w:val="24"/>
                    </w:rPr>
                  </w:pPr>
                  <w:r>
                    <w:rPr>
                      <w:sz w:val="24"/>
                      <w:szCs w:val="24"/>
                    </w:rPr>
                    <w:t>苏环办〔20</w:t>
                  </w:r>
                  <w:r>
                    <w:rPr>
                      <w:rFonts w:hint="eastAsia"/>
                      <w:sz w:val="24"/>
                      <w:szCs w:val="24"/>
                    </w:rPr>
                    <w:t>20</w:t>
                  </w:r>
                  <w:r>
                    <w:rPr>
                      <w:sz w:val="24"/>
                      <w:szCs w:val="24"/>
                    </w:rPr>
                    <w:t>〕</w:t>
                  </w:r>
                  <w:r>
                    <w:rPr>
                      <w:rFonts w:hint="eastAsia"/>
                      <w:sz w:val="24"/>
                      <w:szCs w:val="24"/>
                    </w:rPr>
                    <w:t>688</w:t>
                  </w:r>
                  <w:r>
                    <w:rPr>
                      <w:sz w:val="24"/>
                      <w:szCs w:val="24"/>
                    </w:rPr>
                    <w:t>号文中重大变动清单</w:t>
                  </w:r>
                </w:p>
              </w:tc>
              <w:tc>
                <w:tcPr>
                  <w:tcW w:w="1968" w:type="pct"/>
                  <w:vAlign w:val="center"/>
                </w:tcPr>
                <w:p>
                  <w:pPr>
                    <w:jc w:val="center"/>
                    <w:rPr>
                      <w:sz w:val="24"/>
                      <w:szCs w:val="24"/>
                    </w:rPr>
                  </w:pPr>
                  <w:r>
                    <w:rPr>
                      <w:sz w:val="24"/>
                      <w:szCs w:val="24"/>
                    </w:rPr>
                    <w:t>本项目</w:t>
                  </w:r>
                  <w:r>
                    <w:rPr>
                      <w:rFonts w:hint="eastAsia"/>
                      <w:sz w:val="24"/>
                      <w:szCs w:val="24"/>
                    </w:rPr>
                    <w:t>变化</w:t>
                  </w:r>
                  <w:r>
                    <w:rPr>
                      <w:sz w:val="24"/>
                      <w:szCs w:val="24"/>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 w:val="24"/>
                      <w:szCs w:val="24"/>
                    </w:rPr>
                  </w:pPr>
                  <w:r>
                    <w:rPr>
                      <w:sz w:val="24"/>
                      <w:szCs w:val="24"/>
                    </w:rPr>
                    <w:t>性质</w:t>
                  </w:r>
                </w:p>
              </w:tc>
              <w:tc>
                <w:tcPr>
                  <w:tcW w:w="2575" w:type="pct"/>
                  <w:vAlign w:val="center"/>
                </w:tcPr>
                <w:p>
                  <w:pPr>
                    <w:jc w:val="left"/>
                    <w:rPr>
                      <w:sz w:val="24"/>
                      <w:szCs w:val="24"/>
                    </w:rPr>
                  </w:pPr>
                  <w:r>
                    <w:rPr>
                      <w:sz w:val="24"/>
                      <w:szCs w:val="24"/>
                    </w:rPr>
                    <w:t>1、主要产品品种发生变化（变少的除外）</w:t>
                  </w:r>
                </w:p>
              </w:tc>
              <w:tc>
                <w:tcPr>
                  <w:tcW w:w="1968" w:type="pct"/>
                  <w:vAlign w:val="center"/>
                </w:tcPr>
                <w:p>
                  <w:pPr>
                    <w:jc w:val="center"/>
                    <w:rPr>
                      <w:rFonts w:hint="default" w:eastAsia="宋体"/>
                      <w:sz w:val="24"/>
                      <w:szCs w:val="24"/>
                      <w:lang w:val="en-US" w:eastAsia="zh-CN"/>
                    </w:rPr>
                  </w:pPr>
                  <w:r>
                    <w:rPr>
                      <w:rFonts w:hint="eastAsia"/>
                      <w:sz w:val="24"/>
                      <w:szCs w:val="24"/>
                      <w:lang w:val="en-US" w:eastAsia="zh-CN"/>
                    </w:rPr>
                    <w:t>风电机组减少2台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456" w:type="pct"/>
                  <w:vMerge w:val="restart"/>
                  <w:vAlign w:val="center"/>
                </w:tcPr>
                <w:p>
                  <w:pPr>
                    <w:jc w:val="center"/>
                    <w:rPr>
                      <w:sz w:val="24"/>
                      <w:szCs w:val="24"/>
                    </w:rPr>
                  </w:pPr>
                  <w:r>
                    <w:rPr>
                      <w:sz w:val="24"/>
                      <w:szCs w:val="24"/>
                    </w:rPr>
                    <w:t>规模</w:t>
                  </w:r>
                </w:p>
              </w:tc>
              <w:tc>
                <w:tcPr>
                  <w:tcW w:w="2575" w:type="pct"/>
                  <w:vAlign w:val="center"/>
                </w:tcPr>
                <w:p>
                  <w:pPr>
                    <w:jc w:val="left"/>
                    <w:rPr>
                      <w:sz w:val="24"/>
                      <w:szCs w:val="24"/>
                    </w:rPr>
                  </w:pPr>
                  <w:r>
                    <w:rPr>
                      <w:sz w:val="24"/>
                      <w:szCs w:val="24"/>
                    </w:rPr>
                    <w:t>2、生产能力增加30%及以上</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 w:val="24"/>
                      <w:szCs w:val="24"/>
                    </w:rPr>
                  </w:pPr>
                </w:p>
              </w:tc>
              <w:tc>
                <w:tcPr>
                  <w:tcW w:w="2575" w:type="pct"/>
                  <w:vAlign w:val="center"/>
                </w:tcPr>
                <w:p>
                  <w:pPr>
                    <w:jc w:val="left"/>
                    <w:rPr>
                      <w:sz w:val="24"/>
                      <w:szCs w:val="24"/>
                    </w:rPr>
                  </w:pPr>
                  <w:r>
                    <w:rPr>
                      <w:sz w:val="24"/>
                      <w:szCs w:val="24"/>
                    </w:rPr>
                    <w:t>3、配套的仓储设施（储存危险化学品或其他环境风险大的物品）总储存量容量增加30%及以上</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 w:val="24"/>
                      <w:szCs w:val="24"/>
                    </w:rPr>
                  </w:pPr>
                </w:p>
              </w:tc>
              <w:tc>
                <w:tcPr>
                  <w:tcW w:w="2575" w:type="pct"/>
                  <w:vAlign w:val="center"/>
                </w:tcPr>
                <w:p>
                  <w:pPr>
                    <w:jc w:val="left"/>
                    <w:rPr>
                      <w:sz w:val="24"/>
                      <w:szCs w:val="24"/>
                    </w:rPr>
                  </w:pPr>
                  <w:r>
                    <w:rPr>
                      <w:sz w:val="24"/>
                      <w:szCs w:val="24"/>
                    </w:rPr>
                    <w:t>4、新增生产装置，导致新增污染因子或污染物排放量增加；原有生产装置规模增加30%及以上，导致新增污染因子或污染物排放量增加</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 w:val="24"/>
                      <w:szCs w:val="24"/>
                    </w:rPr>
                  </w:pPr>
                  <w:r>
                    <w:rPr>
                      <w:sz w:val="24"/>
                      <w:szCs w:val="24"/>
                    </w:rPr>
                    <w:t>地点</w:t>
                  </w:r>
                </w:p>
              </w:tc>
              <w:tc>
                <w:tcPr>
                  <w:tcW w:w="2575" w:type="pct"/>
                  <w:vAlign w:val="center"/>
                </w:tcPr>
                <w:p>
                  <w:pPr>
                    <w:jc w:val="left"/>
                    <w:rPr>
                      <w:sz w:val="24"/>
                      <w:szCs w:val="24"/>
                    </w:rPr>
                  </w:pPr>
                  <w:r>
                    <w:rPr>
                      <w:sz w:val="24"/>
                      <w:szCs w:val="24"/>
                    </w:rPr>
                    <w:t>5、项目重新选址</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 w:val="24"/>
                      <w:szCs w:val="24"/>
                    </w:rPr>
                  </w:pPr>
                  <w:r>
                    <w:rPr>
                      <w:sz w:val="24"/>
                      <w:szCs w:val="24"/>
                    </w:rPr>
                    <w:t>生产</w:t>
                  </w:r>
                </w:p>
                <w:p>
                  <w:pPr>
                    <w:jc w:val="center"/>
                    <w:rPr>
                      <w:sz w:val="24"/>
                      <w:szCs w:val="24"/>
                    </w:rPr>
                  </w:pPr>
                  <w:r>
                    <w:rPr>
                      <w:sz w:val="24"/>
                      <w:szCs w:val="24"/>
                    </w:rPr>
                    <w:t>工艺</w:t>
                  </w:r>
                </w:p>
              </w:tc>
              <w:tc>
                <w:tcPr>
                  <w:tcW w:w="2575" w:type="pct"/>
                  <w:vAlign w:val="center"/>
                </w:tcPr>
                <w:p>
                  <w:pPr>
                    <w:jc w:val="left"/>
                    <w:rPr>
                      <w:sz w:val="24"/>
                      <w:szCs w:val="24"/>
                    </w:rPr>
                  </w:pPr>
                  <w:r>
                    <w:rPr>
                      <w:sz w:val="24"/>
                      <w:szCs w:val="24"/>
                    </w:rPr>
                    <w:t>6、</w:t>
                  </w:r>
                  <w:r>
                    <w:rPr>
                      <w:rFonts w:hint="eastAsia"/>
                      <w:sz w:val="24"/>
                      <w:szCs w:val="24"/>
                    </w:rPr>
                    <w:t>新增产品品种或生产工艺</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 w:val="24"/>
                      <w:szCs w:val="24"/>
                    </w:rPr>
                  </w:pPr>
                </w:p>
              </w:tc>
              <w:tc>
                <w:tcPr>
                  <w:tcW w:w="2575" w:type="pct"/>
                  <w:vAlign w:val="center"/>
                </w:tcPr>
                <w:p>
                  <w:pPr>
                    <w:jc w:val="left"/>
                    <w:rPr>
                      <w:sz w:val="24"/>
                      <w:szCs w:val="24"/>
                    </w:rPr>
                  </w:pPr>
                  <w:r>
                    <w:rPr>
                      <w:sz w:val="24"/>
                      <w:szCs w:val="24"/>
                    </w:rPr>
                    <w:t>7、</w:t>
                  </w:r>
                  <w:r>
                    <w:rPr>
                      <w:rFonts w:hint="eastAsia"/>
                      <w:sz w:val="24"/>
                      <w:szCs w:val="24"/>
                    </w:rPr>
                    <w:t>物料运输、装卸、贮存方式变化，导则大气污染物无组织排放量增长10%以上。</w:t>
                  </w:r>
                </w:p>
              </w:tc>
              <w:tc>
                <w:tcPr>
                  <w:tcW w:w="1968" w:type="pct"/>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restart"/>
                  <w:vAlign w:val="center"/>
                </w:tcPr>
                <w:p>
                  <w:pPr>
                    <w:jc w:val="center"/>
                    <w:rPr>
                      <w:sz w:val="24"/>
                      <w:szCs w:val="24"/>
                    </w:rPr>
                  </w:pPr>
                  <w:r>
                    <w:rPr>
                      <w:sz w:val="24"/>
                      <w:szCs w:val="24"/>
                    </w:rPr>
                    <w:t>环境保</w:t>
                  </w:r>
                </w:p>
                <w:p>
                  <w:pPr>
                    <w:jc w:val="center"/>
                    <w:rPr>
                      <w:sz w:val="24"/>
                      <w:szCs w:val="24"/>
                    </w:rPr>
                  </w:pPr>
                  <w:r>
                    <w:rPr>
                      <w:sz w:val="24"/>
                      <w:szCs w:val="24"/>
                    </w:rPr>
                    <w:t>护措施</w:t>
                  </w:r>
                </w:p>
              </w:tc>
              <w:tc>
                <w:tcPr>
                  <w:tcW w:w="2575" w:type="pct"/>
                  <w:vAlign w:val="center"/>
                </w:tcPr>
                <w:p>
                  <w:pPr>
                    <w:jc w:val="left"/>
                    <w:rPr>
                      <w:sz w:val="24"/>
                      <w:szCs w:val="24"/>
                    </w:rPr>
                  </w:pPr>
                  <w:r>
                    <w:rPr>
                      <w:rFonts w:hint="eastAsia"/>
                      <w:sz w:val="24"/>
                      <w:szCs w:val="24"/>
                    </w:rPr>
                    <w:t>8、废水、废气的防治措施发生改变</w:t>
                  </w:r>
                </w:p>
              </w:tc>
              <w:tc>
                <w:tcPr>
                  <w:tcW w:w="1968" w:type="pct"/>
                  <w:shd w:val="clear" w:color="auto" w:fill="auto"/>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 w:val="24"/>
                      <w:szCs w:val="24"/>
                    </w:rPr>
                  </w:pPr>
                </w:p>
              </w:tc>
              <w:tc>
                <w:tcPr>
                  <w:tcW w:w="2575" w:type="pct"/>
                  <w:vAlign w:val="center"/>
                </w:tcPr>
                <w:p>
                  <w:pPr>
                    <w:jc w:val="left"/>
                    <w:rPr>
                      <w:sz w:val="24"/>
                      <w:szCs w:val="24"/>
                    </w:rPr>
                  </w:pPr>
                  <w:r>
                    <w:rPr>
                      <w:rFonts w:hint="eastAsia"/>
                      <w:sz w:val="24"/>
                      <w:szCs w:val="24"/>
                    </w:rPr>
                    <w:t>9、新增废气主要排放口、废水直接排放口</w:t>
                  </w:r>
                </w:p>
              </w:tc>
              <w:tc>
                <w:tcPr>
                  <w:tcW w:w="1968" w:type="pct"/>
                  <w:shd w:val="clear" w:color="auto" w:fill="auto"/>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 w:val="24"/>
                      <w:szCs w:val="24"/>
                    </w:rPr>
                  </w:pPr>
                </w:p>
              </w:tc>
              <w:tc>
                <w:tcPr>
                  <w:tcW w:w="2575" w:type="pct"/>
                  <w:vAlign w:val="center"/>
                </w:tcPr>
                <w:p>
                  <w:pPr>
                    <w:jc w:val="left"/>
                    <w:rPr>
                      <w:sz w:val="24"/>
                      <w:szCs w:val="24"/>
                    </w:rPr>
                  </w:pPr>
                  <w:r>
                    <w:rPr>
                      <w:rFonts w:hint="eastAsia"/>
                      <w:sz w:val="24"/>
                      <w:szCs w:val="24"/>
                    </w:rPr>
                    <w:t>10、噪声、土壤剧哦地下水污染防治措施改变</w:t>
                  </w:r>
                </w:p>
              </w:tc>
              <w:tc>
                <w:tcPr>
                  <w:tcW w:w="1968" w:type="pct"/>
                  <w:shd w:val="clear" w:color="auto" w:fill="auto"/>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rPr>
                      <w:sz w:val="24"/>
                      <w:szCs w:val="24"/>
                    </w:rPr>
                  </w:pPr>
                </w:p>
              </w:tc>
              <w:tc>
                <w:tcPr>
                  <w:tcW w:w="2575" w:type="pct"/>
                  <w:vAlign w:val="center"/>
                </w:tcPr>
                <w:p>
                  <w:pPr>
                    <w:jc w:val="left"/>
                    <w:rPr>
                      <w:sz w:val="24"/>
                      <w:szCs w:val="24"/>
                    </w:rPr>
                  </w:pPr>
                  <w:r>
                    <w:rPr>
                      <w:rFonts w:hint="eastAsia"/>
                      <w:sz w:val="24"/>
                      <w:szCs w:val="24"/>
                    </w:rPr>
                    <w:t>11、固体废物利用处置方式由委外处置改为自行利用处置</w:t>
                  </w:r>
                </w:p>
              </w:tc>
              <w:tc>
                <w:tcPr>
                  <w:tcW w:w="1968" w:type="pct"/>
                  <w:shd w:val="clear" w:color="auto" w:fill="auto"/>
                  <w:vAlign w:val="center"/>
                </w:tcPr>
                <w:p>
                  <w:pPr>
                    <w:jc w:val="center"/>
                    <w:rPr>
                      <w:sz w:val="24"/>
                      <w:szCs w:val="24"/>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Merge w:val="continue"/>
                  <w:vAlign w:val="center"/>
                </w:tcPr>
                <w:p>
                  <w:pPr>
                    <w:jc w:val="center"/>
                    <w:rPr>
                      <w:sz w:val="24"/>
                      <w:szCs w:val="24"/>
                    </w:rPr>
                  </w:pPr>
                </w:p>
              </w:tc>
              <w:tc>
                <w:tcPr>
                  <w:tcW w:w="2575" w:type="pct"/>
                  <w:vAlign w:val="center"/>
                </w:tcPr>
                <w:p>
                  <w:pPr>
                    <w:jc w:val="left"/>
                    <w:rPr>
                      <w:sz w:val="24"/>
                      <w:szCs w:val="24"/>
                    </w:rPr>
                  </w:pPr>
                  <w:r>
                    <w:rPr>
                      <w:sz w:val="24"/>
                      <w:szCs w:val="24"/>
                    </w:rPr>
                    <w:t>1</w:t>
                  </w:r>
                  <w:r>
                    <w:rPr>
                      <w:rFonts w:hint="eastAsia"/>
                      <w:sz w:val="24"/>
                      <w:szCs w:val="24"/>
                    </w:rPr>
                    <w:t>2、事故废水暂存能力或拦截设施变化，导致环境风险防范能力弱化或降低</w:t>
                  </w:r>
                </w:p>
              </w:tc>
              <w:tc>
                <w:tcPr>
                  <w:tcW w:w="1968" w:type="pct"/>
                  <w:vAlign w:val="center"/>
                </w:tcPr>
                <w:p>
                  <w:pPr>
                    <w:jc w:val="center"/>
                    <w:rPr>
                      <w:sz w:val="24"/>
                      <w:szCs w:val="24"/>
                      <w:lang w:val="zh-CN"/>
                    </w:rPr>
                  </w:pPr>
                  <w:r>
                    <w:rPr>
                      <w:rFonts w:hint="eastAsia"/>
                      <w:sz w:val="24"/>
                      <w:szCs w:val="24"/>
                    </w:rPr>
                    <w:t>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56" w:type="pct"/>
                  <w:vAlign w:val="center"/>
                </w:tcPr>
                <w:p>
                  <w:pPr>
                    <w:jc w:val="center"/>
                    <w:rPr>
                      <w:sz w:val="24"/>
                      <w:szCs w:val="24"/>
                    </w:rPr>
                  </w:pPr>
                  <w:r>
                    <w:rPr>
                      <w:sz w:val="24"/>
                      <w:szCs w:val="24"/>
                    </w:rPr>
                    <w:t>结论</w:t>
                  </w:r>
                </w:p>
              </w:tc>
              <w:tc>
                <w:tcPr>
                  <w:tcW w:w="4543" w:type="pct"/>
                  <w:gridSpan w:val="2"/>
                  <w:vAlign w:val="center"/>
                </w:tcPr>
                <w:p>
                  <w:pPr>
                    <w:jc w:val="center"/>
                    <w:rPr>
                      <w:sz w:val="24"/>
                      <w:szCs w:val="24"/>
                    </w:rPr>
                  </w:pPr>
                  <w:r>
                    <w:rPr>
                      <w:sz w:val="24"/>
                      <w:szCs w:val="24"/>
                    </w:rPr>
                    <w:t>对照（苏环办〔20</w:t>
                  </w:r>
                  <w:r>
                    <w:rPr>
                      <w:rFonts w:hint="eastAsia"/>
                      <w:sz w:val="24"/>
                      <w:szCs w:val="24"/>
                    </w:rPr>
                    <w:t>20</w:t>
                  </w:r>
                  <w:r>
                    <w:rPr>
                      <w:sz w:val="24"/>
                      <w:szCs w:val="24"/>
                    </w:rPr>
                    <w:t>〕</w:t>
                  </w:r>
                  <w:r>
                    <w:rPr>
                      <w:rFonts w:hint="eastAsia"/>
                      <w:sz w:val="24"/>
                      <w:szCs w:val="24"/>
                    </w:rPr>
                    <w:t>688</w:t>
                  </w:r>
                  <w:r>
                    <w:rPr>
                      <w:sz w:val="24"/>
                      <w:szCs w:val="24"/>
                    </w:rPr>
                    <w:t>号），</w:t>
                  </w:r>
                  <w:r>
                    <w:rPr>
                      <w:rFonts w:hint="eastAsia"/>
                      <w:sz w:val="24"/>
                      <w:szCs w:val="24"/>
                    </w:rPr>
                    <w:t>本项目无重大变化。</w:t>
                  </w:r>
                </w:p>
              </w:tc>
            </w:tr>
          </w:tbl>
          <w:p>
            <w:pPr>
              <w:ind w:firstLine="480" w:firstLineChars="200"/>
              <w:jc w:val="center"/>
              <w:rPr>
                <w:sz w:val="24"/>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360" w:firstLine="0" w:firstLineChars="0"/>
              <w:rPr>
                <w:sz w:val="24"/>
                <w:szCs w:val="28"/>
              </w:rPr>
            </w:pPr>
          </w:p>
          <w:p>
            <w:pPr>
              <w:pStyle w:val="116"/>
              <w:autoSpaceDE w:val="0"/>
              <w:autoSpaceDN w:val="0"/>
              <w:spacing w:line="360" w:lineRule="auto"/>
              <w:ind w:left="0" w:leftChars="0" w:firstLine="0" w:firstLineChars="0"/>
              <w:rPr>
                <w:sz w:val="24"/>
                <w:szCs w:val="28"/>
              </w:rPr>
            </w:pPr>
          </w:p>
        </w:tc>
      </w:tr>
    </w:tbl>
    <w:p>
      <w:pPr>
        <w:pStyle w:val="3"/>
        <w:tabs>
          <w:tab w:val="left" w:pos="483"/>
        </w:tabs>
        <w:spacing w:beforeLines="50" w:afterLines="50" w:line="240" w:lineRule="auto"/>
        <w:rPr>
          <w:sz w:val="28"/>
          <w:szCs w:val="28"/>
        </w:rPr>
      </w:pPr>
      <w:bookmarkStart w:id="8" w:name="_Toc4862"/>
      <w:r>
        <w:rPr>
          <w:sz w:val="28"/>
          <w:szCs w:val="28"/>
        </w:rPr>
        <w:t>表</w:t>
      </w:r>
      <w:r>
        <w:rPr>
          <w:rFonts w:hint="eastAsia"/>
          <w:sz w:val="28"/>
          <w:szCs w:val="28"/>
        </w:rPr>
        <w:t>五</w:t>
      </w:r>
      <w:r>
        <w:rPr>
          <w:sz w:val="28"/>
          <w:szCs w:val="28"/>
        </w:rPr>
        <w:t xml:space="preserve"> 主要污染源、污染物处理和排放流程</w:t>
      </w:r>
      <w:bookmarkEnd w:id="8"/>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3" w:hRule="atLeast"/>
        </w:trPr>
        <w:tc>
          <w:tcPr>
            <w:tcW w:w="10078" w:type="dxa"/>
            <w:tcBorders>
              <w:top w:val="single" w:color="auto" w:sz="12" w:space="0"/>
              <w:left w:val="single" w:color="auto" w:sz="12" w:space="0"/>
              <w:bottom w:val="single" w:color="auto" w:sz="12" w:space="0"/>
              <w:right w:val="single" w:color="auto" w:sz="12" w:space="0"/>
            </w:tcBorders>
          </w:tcPr>
          <w:p>
            <w:pPr>
              <w:spacing w:line="360" w:lineRule="auto"/>
              <w:rPr>
                <w:b/>
                <w:sz w:val="28"/>
                <w:szCs w:val="28"/>
              </w:rPr>
            </w:pPr>
            <w:r>
              <w:rPr>
                <w:rFonts w:hint="eastAsia"/>
                <w:b/>
                <w:bCs/>
                <w:sz w:val="28"/>
                <w:szCs w:val="28"/>
              </w:rPr>
              <w:t xml:space="preserve">5.1 </w:t>
            </w:r>
            <w:r>
              <w:rPr>
                <w:b/>
                <w:sz w:val="28"/>
                <w:szCs w:val="28"/>
              </w:rPr>
              <w:t>废水</w:t>
            </w:r>
          </w:p>
          <w:p>
            <w:pPr>
              <w:spacing w:line="360" w:lineRule="auto"/>
              <w:ind w:firstLine="480" w:firstLineChars="200"/>
              <w:jc w:val="left"/>
              <w:rPr>
                <w:rFonts w:hint="eastAsia"/>
                <w:sz w:val="24"/>
                <w:lang w:val="en-US" w:eastAsia="zh-CN"/>
              </w:rPr>
            </w:pPr>
            <w:r>
              <w:rPr>
                <w:rFonts w:hint="eastAsia"/>
                <w:sz w:val="24"/>
              </w:rPr>
              <w:t>本项目</w:t>
            </w:r>
            <w:r>
              <w:rPr>
                <w:rFonts w:hint="eastAsia"/>
                <w:sz w:val="24"/>
                <w:lang w:val="en-US" w:eastAsia="zh-CN"/>
              </w:rPr>
              <w:t>产生的食堂废水和生活废水经隔油池、化粪池及地埋式污水处理设施处理后进行厂区绿化和道路洒扫。</w:t>
            </w:r>
          </w:p>
          <w:tbl>
            <w:tblPr>
              <w:tblStyle w:val="3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211"/>
              <w:gridCol w:w="3212"/>
              <w:gridCol w:w="3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80" w:hRule="atLeast"/>
              </w:trPr>
              <w:tc>
                <w:tcPr>
                  <w:tcW w:w="3211" w:type="dxa"/>
                </w:tcPr>
                <w:p>
                  <w:pPr>
                    <w:pStyle w:val="2"/>
                    <w:rPr>
                      <w:rFonts w:hint="eastAsia" w:eastAsia="宋体"/>
                      <w:vertAlign w:val="baseline"/>
                      <w:lang w:val="en-US" w:eastAsia="zh-CN"/>
                    </w:rPr>
                  </w:pPr>
                  <w:r>
                    <w:rPr>
                      <w:rFonts w:hint="eastAsia" w:eastAsia="宋体"/>
                      <w:vertAlign w:val="baseline"/>
                      <w:lang w:val="en-US" w:eastAsia="zh-CN"/>
                    </w:rPr>
                    <w:drawing>
                      <wp:inline distT="0" distB="0" distL="114300" distR="114300">
                        <wp:extent cx="1884680" cy="1414145"/>
                        <wp:effectExtent l="0" t="0" r="1270" b="14605"/>
                        <wp:docPr id="1" name="图片 1" descr="647832268bb3405f52be7d8e0e37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7832268bb3405f52be7d8e0e374e2"/>
                                <pic:cNvPicPr>
                                  <a:picLocks noChangeAspect="1"/>
                                </pic:cNvPicPr>
                              </pic:nvPicPr>
                              <pic:blipFill>
                                <a:blip r:embed="rId11"/>
                                <a:stretch>
                                  <a:fillRect/>
                                </a:stretch>
                              </pic:blipFill>
                              <pic:spPr>
                                <a:xfrm>
                                  <a:off x="0" y="0"/>
                                  <a:ext cx="1884680" cy="1414145"/>
                                </a:xfrm>
                                <a:prstGeom prst="rect">
                                  <a:avLst/>
                                </a:prstGeom>
                              </pic:spPr>
                            </pic:pic>
                          </a:graphicData>
                        </a:graphic>
                      </wp:inline>
                    </w:drawing>
                  </w:r>
                </w:p>
              </w:tc>
              <w:tc>
                <w:tcPr>
                  <w:tcW w:w="3212" w:type="dxa"/>
                </w:tcPr>
                <w:p>
                  <w:pPr>
                    <w:pStyle w:val="2"/>
                    <w:rPr>
                      <w:rFonts w:hint="eastAsia" w:eastAsia="宋体"/>
                      <w:vertAlign w:val="baseline"/>
                      <w:lang w:val="en-US" w:eastAsia="zh-CN"/>
                    </w:rPr>
                  </w:pPr>
                  <w:r>
                    <w:rPr>
                      <w:rFonts w:hint="eastAsia" w:eastAsia="宋体"/>
                      <w:vertAlign w:val="baseline"/>
                      <w:lang w:val="en-US" w:eastAsia="zh-CN"/>
                    </w:rPr>
                    <w:drawing>
                      <wp:inline distT="0" distB="0" distL="114300" distR="114300">
                        <wp:extent cx="1884680" cy="1414145"/>
                        <wp:effectExtent l="0" t="0" r="1270" b="14605"/>
                        <wp:docPr id="2" name="图片 2" descr="92913ab7cb54971e158656c0ea3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913ab7cb54971e158656c0ea39af0"/>
                                <pic:cNvPicPr>
                                  <a:picLocks noChangeAspect="1"/>
                                </pic:cNvPicPr>
                              </pic:nvPicPr>
                              <pic:blipFill>
                                <a:blip r:embed="rId12"/>
                                <a:stretch>
                                  <a:fillRect/>
                                </a:stretch>
                              </pic:blipFill>
                              <pic:spPr>
                                <a:xfrm>
                                  <a:off x="0" y="0"/>
                                  <a:ext cx="1884680" cy="1414145"/>
                                </a:xfrm>
                                <a:prstGeom prst="rect">
                                  <a:avLst/>
                                </a:prstGeom>
                              </pic:spPr>
                            </pic:pic>
                          </a:graphicData>
                        </a:graphic>
                      </wp:inline>
                    </w:drawing>
                  </w:r>
                </w:p>
              </w:tc>
              <w:tc>
                <w:tcPr>
                  <w:tcW w:w="3205" w:type="dxa"/>
                </w:tcPr>
                <w:p>
                  <w:pPr>
                    <w:pStyle w:val="2"/>
                    <w:rPr>
                      <w:rFonts w:hint="eastAsia" w:eastAsia="宋体"/>
                      <w:vertAlign w:val="baseline"/>
                      <w:lang w:val="en-US" w:eastAsia="zh-CN"/>
                    </w:rPr>
                  </w:pPr>
                  <w:r>
                    <w:rPr>
                      <w:rFonts w:hint="eastAsia" w:eastAsia="宋体"/>
                      <w:vertAlign w:val="baseline"/>
                      <w:lang w:val="en-US" w:eastAsia="zh-CN"/>
                    </w:rPr>
                    <w:drawing>
                      <wp:inline distT="0" distB="0" distL="114300" distR="114300">
                        <wp:extent cx="1699260" cy="1431925"/>
                        <wp:effectExtent l="0" t="0" r="15240" b="15875"/>
                        <wp:docPr id="4" name="图片 4" descr="4e4ecd4fcd2c4a2c4c6b57f7c54b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e4ecd4fcd2c4a2c4c6b57f7c54b916"/>
                                <pic:cNvPicPr>
                                  <a:picLocks noChangeAspect="1"/>
                                </pic:cNvPicPr>
                              </pic:nvPicPr>
                              <pic:blipFill>
                                <a:blip r:embed="rId13"/>
                                <a:stretch>
                                  <a:fillRect/>
                                </a:stretch>
                              </pic:blipFill>
                              <pic:spPr>
                                <a:xfrm>
                                  <a:off x="0" y="0"/>
                                  <a:ext cx="1699260" cy="14319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trHeight w:val="572" w:hRule="atLeast"/>
              </w:trPr>
              <w:tc>
                <w:tcPr>
                  <w:tcW w:w="9628" w:type="dxa"/>
                  <w:gridSpan w:val="3"/>
                </w:tcPr>
                <w:p>
                  <w:pPr>
                    <w:pStyle w:val="2"/>
                    <w:jc w:val="center"/>
                    <w:rPr>
                      <w:rFonts w:hint="default"/>
                      <w:vertAlign w:val="baseline"/>
                      <w:lang w:val="en-US"/>
                    </w:rPr>
                  </w:pPr>
                  <w:r>
                    <w:rPr>
                      <w:rFonts w:hint="eastAsia"/>
                      <w:b w:val="0"/>
                      <w:bCs w:val="0"/>
                      <w:sz w:val="24"/>
                      <w:szCs w:val="24"/>
                      <w:vertAlign w:val="baseline"/>
                      <w:lang w:val="en-US" w:eastAsia="zh-CN"/>
                    </w:rPr>
                    <w:t>图5.1 废气设施现状图</w:t>
                  </w:r>
                </w:p>
              </w:tc>
            </w:tr>
          </w:tbl>
          <w:p>
            <w:pPr>
              <w:spacing w:line="360" w:lineRule="auto"/>
              <w:ind w:right="-34"/>
              <w:rPr>
                <w:b/>
                <w:sz w:val="28"/>
                <w:szCs w:val="28"/>
              </w:rPr>
            </w:pPr>
            <w:r>
              <w:rPr>
                <w:rFonts w:hint="eastAsia"/>
                <w:b/>
                <w:sz w:val="28"/>
                <w:szCs w:val="28"/>
              </w:rPr>
              <w:t xml:space="preserve">5.2 </w:t>
            </w:r>
            <w:r>
              <w:rPr>
                <w:b/>
                <w:sz w:val="28"/>
                <w:szCs w:val="28"/>
              </w:rPr>
              <w:t>废气</w:t>
            </w:r>
          </w:p>
          <w:p>
            <w:pPr>
              <w:spacing w:line="360" w:lineRule="auto"/>
              <w:ind w:firstLine="480" w:firstLineChars="200"/>
              <w:rPr>
                <w:rFonts w:hint="eastAsia"/>
                <w:color w:val="auto"/>
                <w:sz w:val="24"/>
              </w:rPr>
            </w:pPr>
            <w:r>
              <w:rPr>
                <w:rFonts w:hint="eastAsia"/>
                <w:sz w:val="24"/>
              </w:rPr>
              <w:t>风力发</w:t>
            </w:r>
            <w:r>
              <w:rPr>
                <w:rFonts w:hint="eastAsia"/>
                <w:color w:val="auto"/>
                <w:sz w:val="24"/>
              </w:rPr>
              <w:t>电是一种不消耗矿物能源、比较清洁的生产项目，在生产运行过程中不生产废气。本项目设</w:t>
            </w:r>
            <w:r>
              <w:rPr>
                <w:rFonts w:hint="eastAsia"/>
                <w:color w:val="auto"/>
                <w:sz w:val="24"/>
                <w:lang w:val="en-US" w:eastAsia="zh-CN"/>
              </w:rPr>
              <w:t>有</w:t>
            </w:r>
            <w:r>
              <w:rPr>
                <w:rFonts w:hint="eastAsia"/>
                <w:color w:val="auto"/>
                <w:sz w:val="24"/>
              </w:rPr>
              <w:t>食堂，</w:t>
            </w:r>
            <w:r>
              <w:rPr>
                <w:rFonts w:hint="eastAsia"/>
                <w:color w:val="auto"/>
                <w:sz w:val="24"/>
                <w:lang w:val="en-US" w:eastAsia="zh-CN"/>
              </w:rPr>
              <w:t>食堂产生的废气采用油烟机脱油净化后，通过排气筒排放</w:t>
            </w:r>
            <w:r>
              <w:rPr>
                <w:rFonts w:hint="eastAsia"/>
                <w:color w:val="auto"/>
                <w:sz w:val="24"/>
              </w:rPr>
              <w:t>。</w:t>
            </w:r>
          </w:p>
          <w:tbl>
            <w:tblPr>
              <w:tblStyle w:val="3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9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38"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5974080" cy="7962265"/>
                        <wp:effectExtent l="0" t="0" r="7620" b="635"/>
                        <wp:docPr id="5" name="图片 5" descr="e38cc8e0893052bffa7af75b61fe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38cc8e0893052bffa7af75b61fe93a"/>
                                <pic:cNvPicPr>
                                  <a:picLocks noChangeAspect="1"/>
                                </pic:cNvPicPr>
                              </pic:nvPicPr>
                              <pic:blipFill>
                                <a:blip r:embed="rId14"/>
                                <a:stretch>
                                  <a:fillRect/>
                                </a:stretch>
                              </pic:blipFill>
                              <pic:spPr>
                                <a:xfrm>
                                  <a:off x="0" y="0"/>
                                  <a:ext cx="5974080" cy="79622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9638" w:type="dxa"/>
                </w:tcPr>
                <w:p>
                  <w:pPr>
                    <w:pStyle w:val="2"/>
                    <w:jc w:val="center"/>
                    <w:rPr>
                      <w:vertAlign w:val="baseline"/>
                    </w:rPr>
                  </w:pPr>
                  <w:r>
                    <w:rPr>
                      <w:rFonts w:hint="eastAsia"/>
                      <w:b w:val="0"/>
                      <w:bCs w:val="0"/>
                      <w:sz w:val="24"/>
                      <w:szCs w:val="24"/>
                      <w:vertAlign w:val="baseline"/>
                      <w:lang w:val="en-US" w:eastAsia="zh-CN"/>
                    </w:rPr>
                    <w:t>图5.2 废水设施现状图</w:t>
                  </w:r>
                </w:p>
              </w:tc>
            </w:tr>
          </w:tbl>
          <w:p>
            <w:pPr>
              <w:spacing w:line="360" w:lineRule="auto"/>
              <w:ind w:right="-34"/>
              <w:rPr>
                <w:b/>
                <w:sz w:val="28"/>
                <w:szCs w:val="28"/>
              </w:rPr>
            </w:pPr>
            <w:r>
              <w:rPr>
                <w:rFonts w:hint="eastAsia"/>
                <w:b/>
                <w:sz w:val="28"/>
                <w:szCs w:val="28"/>
              </w:rPr>
              <w:t>5.3 环境噪声</w:t>
            </w:r>
          </w:p>
          <w:p>
            <w:pPr>
              <w:spacing w:line="360" w:lineRule="auto"/>
              <w:ind w:firstLine="480" w:firstLineChars="200"/>
              <w:rPr>
                <w:b/>
                <w:color w:val="auto"/>
                <w:sz w:val="28"/>
                <w:szCs w:val="28"/>
                <w:highlight w:val="none"/>
              </w:rPr>
            </w:pPr>
            <w:r>
              <w:rPr>
                <w:rFonts w:hint="eastAsia"/>
                <w:sz w:val="24"/>
              </w:rPr>
              <w:t>本项目噪声来源</w:t>
            </w:r>
            <w:r>
              <w:rPr>
                <w:rFonts w:hint="eastAsia"/>
                <w:sz w:val="24"/>
                <w:lang w:eastAsia="zh-CN"/>
              </w:rPr>
              <w:t>来自</w:t>
            </w:r>
            <w:r>
              <w:rPr>
                <w:rFonts w:hint="eastAsia"/>
                <w:sz w:val="24"/>
              </w:rPr>
              <w:t>风力发电机等设备。采取选用低噪声设备、安装基础减振、隔声降噪等措施。</w:t>
            </w:r>
            <w:r>
              <w:rPr>
                <w:sz w:val="24"/>
              </w:rPr>
              <w:t>本次验收监测在</w:t>
            </w:r>
            <w:r>
              <w:rPr>
                <w:rFonts w:hint="eastAsia"/>
                <w:color w:val="auto"/>
                <w:sz w:val="24"/>
                <w:highlight w:val="none"/>
                <w:lang w:val="en-US" w:eastAsia="zh-CN"/>
              </w:rPr>
              <w:t>戴庄S08、S11，车辐山F02、F03分</w:t>
            </w:r>
            <w:r>
              <w:rPr>
                <w:rFonts w:hint="eastAsia"/>
                <w:color w:val="auto"/>
                <w:sz w:val="24"/>
                <w:highlight w:val="none"/>
              </w:rPr>
              <w:t>别</w:t>
            </w:r>
            <w:r>
              <w:rPr>
                <w:color w:val="auto"/>
                <w:sz w:val="24"/>
                <w:highlight w:val="none"/>
              </w:rPr>
              <w:t>设置了4个噪声监测点位</w:t>
            </w:r>
            <w:r>
              <w:rPr>
                <w:rFonts w:hint="eastAsia"/>
                <w:color w:val="auto"/>
                <w:sz w:val="24"/>
                <w:highlight w:val="none"/>
              </w:rPr>
              <w:t>（</w:t>
            </w:r>
            <w:r>
              <w:rPr>
                <w:rFonts w:hint="eastAsia"/>
                <w:color w:val="auto"/>
                <w:sz w:val="24"/>
                <w:highlight w:val="none"/>
                <w:lang w:val="en-US" w:eastAsia="zh-CN"/>
              </w:rPr>
              <w:t>Z</w:t>
            </w:r>
            <w:r>
              <w:rPr>
                <w:rFonts w:hint="eastAsia"/>
                <w:color w:val="auto"/>
                <w:sz w:val="24"/>
                <w:highlight w:val="none"/>
              </w:rPr>
              <w:t>1</w:t>
            </w:r>
            <w:r>
              <w:rPr>
                <w:color w:val="auto"/>
                <w:sz w:val="24"/>
                <w:highlight w:val="none"/>
              </w:rPr>
              <w:t>～</w:t>
            </w:r>
            <w:r>
              <w:rPr>
                <w:rFonts w:hint="eastAsia"/>
                <w:color w:val="auto"/>
                <w:sz w:val="24"/>
                <w:highlight w:val="none"/>
                <w:lang w:val="en-US" w:eastAsia="zh-CN"/>
              </w:rPr>
              <w:t>Z</w:t>
            </w:r>
            <w:r>
              <w:rPr>
                <w:color w:val="auto"/>
                <w:sz w:val="24"/>
                <w:highlight w:val="none"/>
              </w:rPr>
              <w:t>4</w:t>
            </w:r>
            <w:r>
              <w:rPr>
                <w:rFonts w:hint="eastAsia"/>
                <w:color w:val="auto"/>
                <w:sz w:val="24"/>
                <w:highlight w:val="none"/>
              </w:rPr>
              <w:t>）。</w:t>
            </w:r>
          </w:p>
          <w:p>
            <w:pPr>
              <w:spacing w:line="360" w:lineRule="auto"/>
              <w:ind w:right="-34"/>
              <w:rPr>
                <w:b/>
                <w:sz w:val="28"/>
                <w:szCs w:val="28"/>
              </w:rPr>
            </w:pPr>
            <w:r>
              <w:rPr>
                <w:rFonts w:hint="eastAsia"/>
                <w:b/>
                <w:sz w:val="28"/>
                <w:szCs w:val="28"/>
              </w:rPr>
              <w:t>5.4 固体废弃物</w:t>
            </w:r>
          </w:p>
          <w:p>
            <w:pPr>
              <w:spacing w:line="360" w:lineRule="auto"/>
              <w:ind w:firstLine="480" w:firstLineChars="200"/>
              <w:rPr>
                <w:sz w:val="24"/>
              </w:rPr>
            </w:pPr>
            <w:r>
              <w:rPr>
                <w:sz w:val="24"/>
              </w:rPr>
              <w:t>本项目营运期</w:t>
            </w:r>
            <w:r>
              <w:rPr>
                <w:rFonts w:hint="eastAsia"/>
                <w:sz w:val="24"/>
              </w:rPr>
              <w:t>产生的</w:t>
            </w:r>
            <w:r>
              <w:rPr>
                <w:sz w:val="24"/>
              </w:rPr>
              <w:t>固废</w:t>
            </w:r>
            <w:r>
              <w:rPr>
                <w:rFonts w:hint="eastAsia"/>
                <w:sz w:val="24"/>
              </w:rPr>
              <w:t>主要为生活垃圾、</w:t>
            </w:r>
            <w:r>
              <w:rPr>
                <w:rFonts w:hint="eastAsia"/>
                <w:sz w:val="24"/>
                <w:lang w:val="en-US" w:eastAsia="zh-CN"/>
              </w:rPr>
              <w:t>餐厨垃圾、</w:t>
            </w:r>
            <w:r>
              <w:rPr>
                <w:rFonts w:hint="eastAsia"/>
                <w:sz w:val="24"/>
              </w:rPr>
              <w:t>废变压器油、废润滑油和含油抹布、手套</w:t>
            </w:r>
            <w:r>
              <w:rPr>
                <w:rFonts w:hint="eastAsia"/>
                <w:sz w:val="24"/>
                <w:lang w:eastAsia="zh-CN"/>
              </w:rPr>
              <w:t>、</w:t>
            </w:r>
            <w:r>
              <w:rPr>
                <w:rFonts w:hint="eastAsia"/>
                <w:sz w:val="24"/>
                <w:lang w:val="en-US" w:eastAsia="zh-CN"/>
              </w:rPr>
              <w:t>污泥</w:t>
            </w:r>
            <w:r>
              <w:rPr>
                <w:bCs/>
                <w:sz w:val="24"/>
              </w:rPr>
              <w:t>。</w:t>
            </w:r>
            <w:r>
              <w:rPr>
                <w:rFonts w:hint="eastAsia"/>
                <w:sz w:val="24"/>
              </w:rPr>
              <w:t>废变压器油、废润滑油和含油抹布、手套</w:t>
            </w:r>
            <w:r>
              <w:rPr>
                <w:rFonts w:hint="eastAsia"/>
                <w:sz w:val="24"/>
                <w:lang w:eastAsia="zh-CN"/>
              </w:rPr>
              <w:t>、</w:t>
            </w:r>
            <w:r>
              <w:rPr>
                <w:rFonts w:hint="eastAsia"/>
                <w:sz w:val="24"/>
                <w:lang w:val="en-US" w:eastAsia="zh-CN"/>
              </w:rPr>
              <w:t>污泥</w:t>
            </w:r>
            <w:r>
              <w:rPr>
                <w:sz w:val="24"/>
              </w:rPr>
              <w:t>属于危废，</w:t>
            </w:r>
            <w:r>
              <w:rPr>
                <w:rFonts w:hint="eastAsia"/>
                <w:sz w:val="24"/>
              </w:rPr>
              <w:t>废变压器油、废润滑油</w:t>
            </w:r>
            <w:r>
              <w:rPr>
                <w:rFonts w:hint="eastAsia"/>
                <w:sz w:val="24"/>
                <w:lang w:val="en-US" w:eastAsia="zh-CN"/>
              </w:rPr>
              <w:t>交</w:t>
            </w:r>
            <w:r>
              <w:rPr>
                <w:rFonts w:hint="eastAsia"/>
                <w:sz w:val="24"/>
              </w:rPr>
              <w:t>由</w:t>
            </w:r>
            <w:r>
              <w:rPr>
                <w:rFonts w:hint="eastAsia"/>
                <w:sz w:val="24"/>
                <w:lang w:val="en-US" w:eastAsia="zh-CN"/>
              </w:rPr>
              <w:t>有资质单位处理</w:t>
            </w:r>
            <w:r>
              <w:rPr>
                <w:rFonts w:hint="eastAsia"/>
                <w:color w:val="auto"/>
                <w:sz w:val="24"/>
                <w:lang w:eastAsia="zh-CN"/>
              </w:rPr>
              <w:t>，</w:t>
            </w:r>
            <w:r>
              <w:rPr>
                <w:rFonts w:hint="eastAsia"/>
                <w:color w:val="auto"/>
                <w:sz w:val="24"/>
                <w:lang w:val="en-US" w:eastAsia="zh-CN"/>
              </w:rPr>
              <w:t>废</w:t>
            </w:r>
            <w:r>
              <w:rPr>
                <w:rFonts w:hint="eastAsia"/>
                <w:color w:val="auto"/>
                <w:sz w:val="24"/>
              </w:rPr>
              <w:t>含油</w:t>
            </w:r>
            <w:r>
              <w:rPr>
                <w:rFonts w:hint="eastAsia"/>
                <w:color w:val="auto"/>
                <w:sz w:val="24"/>
                <w:lang w:val="en-US" w:eastAsia="zh-CN"/>
              </w:rPr>
              <w:t>手套及抹布、</w:t>
            </w:r>
            <w:r>
              <w:rPr>
                <w:sz w:val="24"/>
              </w:rPr>
              <w:t>生活垃圾</w:t>
            </w:r>
            <w:r>
              <w:rPr>
                <w:rFonts w:hint="eastAsia"/>
                <w:sz w:val="24"/>
                <w:lang w:val="en-US" w:eastAsia="zh-CN"/>
              </w:rPr>
              <w:t>和餐厨垃圾</w:t>
            </w:r>
            <w:r>
              <w:rPr>
                <w:sz w:val="24"/>
              </w:rPr>
              <w:t>交由环卫部门清运</w:t>
            </w:r>
            <w:r>
              <w:rPr>
                <w:rFonts w:hint="eastAsia"/>
                <w:sz w:val="24"/>
              </w:rPr>
              <w:t>。本项目固（液）体废物种类、产生量以及去向见表5.1。</w:t>
            </w:r>
          </w:p>
          <w:p>
            <w:pPr>
              <w:jc w:val="center"/>
              <w:rPr>
                <w:sz w:val="24"/>
              </w:rPr>
            </w:pPr>
            <w:r>
              <w:rPr>
                <w:rFonts w:hint="eastAsia"/>
                <w:sz w:val="24"/>
              </w:rPr>
              <w:t>表5.1本项目固（液）体废物种类、产生量以及去向表</w:t>
            </w:r>
          </w:p>
          <w:tbl>
            <w:tblPr>
              <w:tblStyle w:val="33"/>
              <w:tblW w:w="9643" w:type="dxa"/>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456"/>
              <w:gridCol w:w="1363"/>
              <w:gridCol w:w="1108"/>
              <w:gridCol w:w="1336"/>
              <w:gridCol w:w="1110"/>
              <w:gridCol w:w="1251"/>
              <w:gridCol w:w="1110"/>
              <w:gridCol w:w="1909"/>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sz w:val="24"/>
                      <w:szCs w:val="24"/>
                    </w:rPr>
                  </w:pPr>
                  <w:r>
                    <w:rPr>
                      <w:rFonts w:hint="eastAsia"/>
                      <w:sz w:val="24"/>
                      <w:szCs w:val="24"/>
                    </w:rPr>
                    <w:t>序号</w:t>
                  </w:r>
                </w:p>
              </w:tc>
              <w:tc>
                <w:tcPr>
                  <w:tcW w:w="706" w:type="pct"/>
                  <w:tcBorders>
                    <w:right w:val="single" w:color="auto" w:sz="4" w:space="0"/>
                    <w:tl2br w:val="nil"/>
                    <w:tr2bl w:val="nil"/>
                  </w:tcBorders>
                  <w:shd w:val="clear" w:color="auto" w:fill="auto"/>
                  <w:vAlign w:val="center"/>
                </w:tcPr>
                <w:p>
                  <w:pPr>
                    <w:jc w:val="center"/>
                    <w:rPr>
                      <w:sz w:val="24"/>
                      <w:szCs w:val="24"/>
                    </w:rPr>
                  </w:pPr>
                  <w:r>
                    <w:rPr>
                      <w:rFonts w:hint="eastAsia"/>
                      <w:sz w:val="24"/>
                      <w:szCs w:val="24"/>
                    </w:rPr>
                    <w:t>名称</w:t>
                  </w:r>
                </w:p>
              </w:tc>
              <w:tc>
                <w:tcPr>
                  <w:tcW w:w="574" w:type="pct"/>
                  <w:tcBorders>
                    <w:right w:val="single" w:color="auto" w:sz="4" w:space="0"/>
                    <w:tl2br w:val="nil"/>
                    <w:tr2bl w:val="nil"/>
                  </w:tcBorders>
                  <w:shd w:val="clear" w:color="auto" w:fill="auto"/>
                  <w:vAlign w:val="center"/>
                </w:tcPr>
                <w:p>
                  <w:pPr>
                    <w:jc w:val="center"/>
                    <w:rPr>
                      <w:sz w:val="24"/>
                      <w:szCs w:val="24"/>
                    </w:rPr>
                  </w:pPr>
                  <w:r>
                    <w:rPr>
                      <w:rFonts w:hint="eastAsia"/>
                      <w:sz w:val="24"/>
                      <w:szCs w:val="24"/>
                    </w:rPr>
                    <w:t>产生工序</w:t>
                  </w:r>
                </w:p>
              </w:tc>
              <w:tc>
                <w:tcPr>
                  <w:tcW w:w="692" w:type="pct"/>
                  <w:tcBorders>
                    <w:left w:val="single" w:color="auto" w:sz="4" w:space="0"/>
                    <w:tl2br w:val="nil"/>
                    <w:tr2bl w:val="nil"/>
                  </w:tcBorders>
                  <w:shd w:val="clear" w:color="auto" w:fill="auto"/>
                  <w:vAlign w:val="center"/>
                </w:tcPr>
                <w:p>
                  <w:pPr>
                    <w:jc w:val="center"/>
                    <w:rPr>
                      <w:sz w:val="24"/>
                      <w:szCs w:val="24"/>
                    </w:rPr>
                  </w:pPr>
                  <w:r>
                    <w:rPr>
                      <w:sz w:val="24"/>
                      <w:szCs w:val="24"/>
                    </w:rPr>
                    <w:t>废物</w:t>
                  </w:r>
                  <w:r>
                    <w:rPr>
                      <w:rFonts w:hint="eastAsia"/>
                      <w:sz w:val="24"/>
                      <w:szCs w:val="24"/>
                    </w:rPr>
                    <w:t>代码</w:t>
                  </w:r>
                </w:p>
              </w:tc>
              <w:tc>
                <w:tcPr>
                  <w:tcW w:w="575" w:type="pct"/>
                  <w:tcBorders>
                    <w:tl2br w:val="nil"/>
                    <w:tr2bl w:val="nil"/>
                  </w:tcBorders>
                  <w:shd w:val="clear" w:color="auto" w:fill="auto"/>
                  <w:vAlign w:val="center"/>
                </w:tcPr>
                <w:p>
                  <w:pPr>
                    <w:jc w:val="center"/>
                    <w:rPr>
                      <w:sz w:val="24"/>
                      <w:szCs w:val="24"/>
                    </w:rPr>
                  </w:pPr>
                  <w:r>
                    <w:rPr>
                      <w:rFonts w:hint="eastAsia"/>
                      <w:sz w:val="24"/>
                      <w:szCs w:val="24"/>
                    </w:rPr>
                    <w:t>环评产生量</w:t>
                  </w:r>
                  <w:r>
                    <w:rPr>
                      <w:sz w:val="24"/>
                      <w:szCs w:val="24"/>
                    </w:rPr>
                    <w:t>（t/a）</w:t>
                  </w:r>
                </w:p>
              </w:tc>
              <w:tc>
                <w:tcPr>
                  <w:tcW w:w="648" w:type="pct"/>
                  <w:tcBorders>
                    <w:tl2br w:val="nil"/>
                    <w:tr2bl w:val="nil"/>
                  </w:tcBorders>
                  <w:shd w:val="clear" w:color="auto" w:fill="auto"/>
                  <w:vAlign w:val="center"/>
                </w:tcPr>
                <w:p>
                  <w:pPr>
                    <w:jc w:val="center"/>
                    <w:rPr>
                      <w:sz w:val="24"/>
                      <w:szCs w:val="24"/>
                    </w:rPr>
                  </w:pPr>
                  <w:r>
                    <w:rPr>
                      <w:rFonts w:hint="eastAsia"/>
                      <w:sz w:val="24"/>
                      <w:szCs w:val="24"/>
                    </w:rPr>
                    <w:t>调试期间产生量（</w:t>
                  </w:r>
                  <w:r>
                    <w:rPr>
                      <w:sz w:val="24"/>
                      <w:szCs w:val="24"/>
                    </w:rPr>
                    <w:t>t/</w:t>
                  </w:r>
                  <w:r>
                    <w:rPr>
                      <w:rFonts w:hint="eastAsia"/>
                      <w:sz w:val="24"/>
                      <w:szCs w:val="24"/>
                    </w:rPr>
                    <w:t>月）</w:t>
                  </w:r>
                </w:p>
              </w:tc>
              <w:tc>
                <w:tcPr>
                  <w:tcW w:w="575" w:type="pct"/>
                  <w:tcBorders>
                    <w:tl2br w:val="nil"/>
                    <w:tr2bl w:val="nil"/>
                  </w:tcBorders>
                  <w:shd w:val="clear" w:color="auto" w:fill="auto"/>
                  <w:vAlign w:val="center"/>
                </w:tcPr>
                <w:p>
                  <w:pPr>
                    <w:jc w:val="center"/>
                    <w:rPr>
                      <w:sz w:val="24"/>
                      <w:szCs w:val="24"/>
                    </w:rPr>
                  </w:pPr>
                  <w:r>
                    <w:rPr>
                      <w:sz w:val="24"/>
                      <w:szCs w:val="24"/>
                    </w:rPr>
                    <w:t>实际产生量（t/a）</w:t>
                  </w:r>
                </w:p>
              </w:tc>
              <w:tc>
                <w:tcPr>
                  <w:tcW w:w="986" w:type="pct"/>
                  <w:tcBorders>
                    <w:tl2br w:val="nil"/>
                    <w:tr2bl w:val="nil"/>
                  </w:tcBorders>
                  <w:shd w:val="clear" w:color="auto" w:fill="auto"/>
                  <w:vAlign w:val="center"/>
                </w:tcPr>
                <w:p>
                  <w:pPr>
                    <w:jc w:val="center"/>
                    <w:rPr>
                      <w:sz w:val="24"/>
                      <w:szCs w:val="24"/>
                    </w:rPr>
                  </w:pPr>
                  <w:r>
                    <w:rPr>
                      <w:rFonts w:hint="eastAsia"/>
                      <w:sz w:val="24"/>
                      <w:szCs w:val="24"/>
                    </w:rPr>
                    <w:t>处理方式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sz w:val="24"/>
                      <w:szCs w:val="24"/>
                    </w:rPr>
                  </w:pPr>
                  <w:r>
                    <w:rPr>
                      <w:rFonts w:hint="eastAsia"/>
                      <w:sz w:val="24"/>
                      <w:szCs w:val="24"/>
                    </w:rPr>
                    <w:t>1</w:t>
                  </w:r>
                </w:p>
              </w:tc>
              <w:tc>
                <w:tcPr>
                  <w:tcW w:w="706" w:type="pct"/>
                  <w:tcBorders>
                    <w:right w:val="single" w:color="auto" w:sz="4" w:space="0"/>
                    <w:tl2br w:val="nil"/>
                    <w:tr2bl w:val="nil"/>
                  </w:tcBorders>
                  <w:shd w:val="clear" w:color="auto" w:fill="auto"/>
                  <w:vAlign w:val="center"/>
                </w:tcPr>
                <w:p>
                  <w:pPr>
                    <w:ind w:right="19" w:rightChars="9"/>
                    <w:jc w:val="center"/>
                    <w:rPr>
                      <w:bCs/>
                      <w:sz w:val="24"/>
                      <w:szCs w:val="24"/>
                    </w:rPr>
                  </w:pPr>
                  <w:r>
                    <w:rPr>
                      <w:rFonts w:hint="eastAsia"/>
                      <w:bCs/>
                      <w:sz w:val="24"/>
                      <w:szCs w:val="24"/>
                    </w:rPr>
                    <w:t>废变压器油</w:t>
                  </w:r>
                </w:p>
              </w:tc>
              <w:tc>
                <w:tcPr>
                  <w:tcW w:w="574" w:type="pct"/>
                  <w:tcBorders>
                    <w:right w:val="single" w:color="auto" w:sz="4" w:space="0"/>
                    <w:tl2br w:val="nil"/>
                    <w:tr2bl w:val="nil"/>
                  </w:tcBorders>
                  <w:shd w:val="clear" w:color="auto" w:fill="auto"/>
                  <w:vAlign w:val="center"/>
                </w:tcPr>
                <w:p>
                  <w:pPr>
                    <w:jc w:val="center"/>
                    <w:rPr>
                      <w:bCs/>
                      <w:sz w:val="24"/>
                      <w:szCs w:val="24"/>
                    </w:rPr>
                  </w:pPr>
                  <w:r>
                    <w:rPr>
                      <w:rFonts w:hint="eastAsia"/>
                      <w:bCs/>
                      <w:sz w:val="24"/>
                      <w:szCs w:val="24"/>
                    </w:rPr>
                    <w:t>事故状态</w:t>
                  </w:r>
                </w:p>
              </w:tc>
              <w:tc>
                <w:tcPr>
                  <w:tcW w:w="692" w:type="pct"/>
                  <w:tcBorders>
                    <w:left w:val="single" w:color="auto" w:sz="4" w:space="0"/>
                    <w:tl2br w:val="nil"/>
                    <w:tr2bl w:val="nil"/>
                  </w:tcBorders>
                  <w:shd w:val="clear" w:color="auto" w:fill="auto"/>
                  <w:vAlign w:val="center"/>
                </w:tcPr>
                <w:p>
                  <w:pPr>
                    <w:jc w:val="center"/>
                    <w:rPr>
                      <w:bCs/>
                      <w:sz w:val="24"/>
                      <w:szCs w:val="24"/>
                    </w:rPr>
                  </w:pPr>
                  <w:r>
                    <w:rPr>
                      <w:bCs/>
                      <w:sz w:val="24"/>
                      <w:szCs w:val="24"/>
                    </w:rPr>
                    <w:t>HW</w:t>
                  </w:r>
                  <w:r>
                    <w:rPr>
                      <w:rFonts w:hint="eastAsia"/>
                      <w:bCs/>
                      <w:sz w:val="24"/>
                      <w:szCs w:val="24"/>
                    </w:rPr>
                    <w:t>08</w:t>
                  </w:r>
                </w:p>
                <w:p>
                  <w:pPr>
                    <w:jc w:val="center"/>
                    <w:rPr>
                      <w:bCs/>
                      <w:sz w:val="24"/>
                      <w:szCs w:val="24"/>
                    </w:rPr>
                  </w:pPr>
                  <w:r>
                    <w:rPr>
                      <w:bCs/>
                      <w:sz w:val="24"/>
                      <w:szCs w:val="24"/>
                    </w:rPr>
                    <w:t>900-</w:t>
                  </w:r>
                  <w:r>
                    <w:rPr>
                      <w:rFonts w:hint="eastAsia"/>
                      <w:bCs/>
                      <w:sz w:val="24"/>
                      <w:szCs w:val="24"/>
                    </w:rPr>
                    <w:t>220</w:t>
                  </w:r>
                  <w:r>
                    <w:rPr>
                      <w:bCs/>
                      <w:sz w:val="24"/>
                      <w:szCs w:val="24"/>
                    </w:rPr>
                    <w:t>-</w:t>
                  </w:r>
                  <w:r>
                    <w:rPr>
                      <w:rFonts w:hint="eastAsia"/>
                      <w:bCs/>
                      <w:sz w:val="24"/>
                      <w:szCs w:val="24"/>
                    </w:rPr>
                    <w:t>08</w:t>
                  </w:r>
                </w:p>
              </w:tc>
              <w:tc>
                <w:tcPr>
                  <w:tcW w:w="575" w:type="pct"/>
                  <w:tcBorders>
                    <w:tl2br w:val="nil"/>
                    <w:tr2bl w:val="nil"/>
                  </w:tcBorders>
                  <w:shd w:val="clear" w:color="auto" w:fill="auto"/>
                  <w:vAlign w:val="center"/>
                </w:tcPr>
                <w:p>
                  <w:pPr>
                    <w:jc w:val="center"/>
                    <w:rPr>
                      <w:bCs/>
                      <w:sz w:val="24"/>
                      <w:szCs w:val="24"/>
                    </w:rPr>
                  </w:pPr>
                  <w:r>
                    <w:rPr>
                      <w:rFonts w:hint="eastAsia"/>
                      <w:bCs/>
                      <w:sz w:val="24"/>
                      <w:szCs w:val="24"/>
                    </w:rPr>
                    <w:t>10t/次（仅发生变压器油泄漏事故年份）</w:t>
                  </w:r>
                </w:p>
              </w:tc>
              <w:tc>
                <w:tcPr>
                  <w:tcW w:w="648" w:type="pct"/>
                  <w:tcBorders>
                    <w:tl2br w:val="nil"/>
                    <w:tr2bl w:val="nil"/>
                  </w:tcBorders>
                  <w:shd w:val="clear" w:color="auto" w:fill="auto"/>
                  <w:vAlign w:val="center"/>
                </w:tcPr>
                <w:p>
                  <w:pPr>
                    <w:jc w:val="center"/>
                    <w:rPr>
                      <w:sz w:val="24"/>
                      <w:szCs w:val="24"/>
                    </w:rPr>
                  </w:pPr>
                  <w:r>
                    <w:rPr>
                      <w:rFonts w:hint="eastAsia"/>
                      <w:sz w:val="24"/>
                      <w:szCs w:val="24"/>
                    </w:rPr>
                    <w:t>/</w:t>
                  </w:r>
                </w:p>
              </w:tc>
              <w:tc>
                <w:tcPr>
                  <w:tcW w:w="575" w:type="pct"/>
                  <w:tcBorders>
                    <w:tl2br w:val="nil"/>
                    <w:tr2bl w:val="nil"/>
                  </w:tcBorders>
                  <w:shd w:val="clear" w:color="auto" w:fill="auto"/>
                  <w:vAlign w:val="center"/>
                </w:tcPr>
                <w:p>
                  <w:pPr>
                    <w:jc w:val="center"/>
                    <w:rPr>
                      <w:sz w:val="24"/>
                      <w:szCs w:val="24"/>
                    </w:rPr>
                  </w:pPr>
                  <w:r>
                    <w:rPr>
                      <w:rFonts w:hint="eastAsia"/>
                      <w:sz w:val="24"/>
                      <w:szCs w:val="24"/>
                    </w:rPr>
                    <w:t>/</w:t>
                  </w:r>
                </w:p>
              </w:tc>
              <w:tc>
                <w:tcPr>
                  <w:tcW w:w="986" w:type="pct"/>
                  <w:vMerge w:val="restart"/>
                  <w:tcBorders>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交由有资质单位处理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rFonts w:hint="eastAsia" w:eastAsia="宋体"/>
                      <w:sz w:val="24"/>
                      <w:szCs w:val="24"/>
                      <w:lang w:eastAsia="zh-CN"/>
                    </w:rPr>
                  </w:pPr>
                  <w:r>
                    <w:rPr>
                      <w:rFonts w:hint="eastAsia"/>
                      <w:sz w:val="24"/>
                      <w:szCs w:val="24"/>
                      <w:lang w:val="en-US" w:eastAsia="zh-CN"/>
                    </w:rPr>
                    <w:t>2</w:t>
                  </w:r>
                </w:p>
              </w:tc>
              <w:tc>
                <w:tcPr>
                  <w:tcW w:w="706" w:type="pct"/>
                  <w:tcBorders>
                    <w:right w:val="single" w:color="auto" w:sz="4" w:space="0"/>
                    <w:tl2br w:val="nil"/>
                    <w:tr2bl w:val="nil"/>
                  </w:tcBorders>
                  <w:shd w:val="clear" w:color="auto" w:fill="auto"/>
                  <w:vAlign w:val="center"/>
                </w:tcPr>
                <w:p>
                  <w:pPr>
                    <w:ind w:right="19" w:rightChars="9"/>
                    <w:jc w:val="center"/>
                    <w:rPr>
                      <w:bCs/>
                      <w:sz w:val="24"/>
                      <w:szCs w:val="24"/>
                    </w:rPr>
                  </w:pPr>
                  <w:r>
                    <w:rPr>
                      <w:rFonts w:hint="eastAsia"/>
                      <w:bCs/>
                      <w:sz w:val="24"/>
                      <w:szCs w:val="24"/>
                    </w:rPr>
                    <w:t>废润滑油</w:t>
                  </w:r>
                </w:p>
              </w:tc>
              <w:tc>
                <w:tcPr>
                  <w:tcW w:w="574" w:type="pct"/>
                  <w:tcBorders>
                    <w:right w:val="single" w:color="auto" w:sz="4" w:space="0"/>
                    <w:tl2br w:val="nil"/>
                    <w:tr2bl w:val="nil"/>
                  </w:tcBorders>
                  <w:shd w:val="clear" w:color="auto" w:fill="auto"/>
                  <w:vAlign w:val="center"/>
                </w:tcPr>
                <w:p>
                  <w:pPr>
                    <w:jc w:val="center"/>
                    <w:rPr>
                      <w:rFonts w:hint="default" w:eastAsia="宋体"/>
                      <w:bCs/>
                      <w:sz w:val="24"/>
                      <w:szCs w:val="24"/>
                      <w:lang w:val="en-US" w:eastAsia="zh-CN"/>
                    </w:rPr>
                  </w:pPr>
                  <w:r>
                    <w:rPr>
                      <w:rFonts w:hint="eastAsia"/>
                      <w:bCs/>
                      <w:sz w:val="24"/>
                      <w:szCs w:val="24"/>
                      <w:lang w:val="en-US" w:eastAsia="zh-CN"/>
                    </w:rPr>
                    <w:t>风力发电机</w:t>
                  </w:r>
                </w:p>
              </w:tc>
              <w:tc>
                <w:tcPr>
                  <w:tcW w:w="692" w:type="pct"/>
                  <w:tcBorders>
                    <w:left w:val="single" w:color="auto" w:sz="4" w:space="0"/>
                    <w:tl2br w:val="nil"/>
                    <w:tr2bl w:val="nil"/>
                  </w:tcBorders>
                  <w:shd w:val="clear" w:color="auto" w:fill="auto"/>
                  <w:vAlign w:val="center"/>
                </w:tcPr>
                <w:p>
                  <w:pPr>
                    <w:jc w:val="center"/>
                    <w:rPr>
                      <w:rFonts w:hint="default" w:eastAsia="宋体"/>
                      <w:bCs/>
                      <w:sz w:val="24"/>
                      <w:szCs w:val="24"/>
                      <w:lang w:val="en-US" w:eastAsia="zh-CN"/>
                    </w:rPr>
                  </w:pPr>
                  <w:r>
                    <w:rPr>
                      <w:bCs/>
                      <w:sz w:val="24"/>
                      <w:szCs w:val="24"/>
                    </w:rPr>
                    <w:t>HW</w:t>
                  </w:r>
                  <w:r>
                    <w:rPr>
                      <w:rFonts w:hint="eastAsia"/>
                      <w:bCs/>
                      <w:sz w:val="24"/>
                      <w:szCs w:val="24"/>
                      <w:lang w:val="en-US" w:eastAsia="zh-CN"/>
                    </w:rPr>
                    <w:t>08</w:t>
                  </w:r>
                </w:p>
                <w:p>
                  <w:pPr>
                    <w:jc w:val="center"/>
                    <w:rPr>
                      <w:rFonts w:hint="default" w:eastAsia="宋体"/>
                      <w:bCs/>
                      <w:sz w:val="24"/>
                      <w:szCs w:val="24"/>
                      <w:lang w:val="en-US" w:eastAsia="zh-CN"/>
                    </w:rPr>
                  </w:pPr>
                  <w:r>
                    <w:rPr>
                      <w:bCs/>
                      <w:sz w:val="24"/>
                      <w:szCs w:val="24"/>
                    </w:rPr>
                    <w:t>900-</w:t>
                  </w:r>
                  <w:r>
                    <w:rPr>
                      <w:rFonts w:hint="eastAsia"/>
                      <w:bCs/>
                      <w:sz w:val="24"/>
                      <w:szCs w:val="24"/>
                      <w:lang w:val="en-US" w:eastAsia="zh-CN"/>
                    </w:rPr>
                    <w:t>214</w:t>
                  </w:r>
                  <w:r>
                    <w:rPr>
                      <w:bCs/>
                      <w:sz w:val="24"/>
                      <w:szCs w:val="24"/>
                    </w:rPr>
                    <w:t>-</w:t>
                  </w:r>
                  <w:r>
                    <w:rPr>
                      <w:rFonts w:hint="eastAsia"/>
                      <w:bCs/>
                      <w:sz w:val="24"/>
                      <w:szCs w:val="24"/>
                      <w:lang w:val="en-US" w:eastAsia="zh-CN"/>
                    </w:rPr>
                    <w:t>08</w:t>
                  </w:r>
                </w:p>
              </w:tc>
              <w:tc>
                <w:tcPr>
                  <w:tcW w:w="575" w:type="pct"/>
                  <w:tcBorders>
                    <w:tl2br w:val="nil"/>
                    <w:tr2bl w:val="nil"/>
                  </w:tcBorders>
                  <w:shd w:val="clear" w:color="auto" w:fill="auto"/>
                  <w:vAlign w:val="center"/>
                </w:tcPr>
                <w:p>
                  <w:pPr>
                    <w:jc w:val="center"/>
                    <w:rPr>
                      <w:rFonts w:hint="default" w:eastAsia="宋体"/>
                      <w:bCs/>
                      <w:sz w:val="24"/>
                      <w:szCs w:val="24"/>
                      <w:lang w:val="en-US" w:eastAsia="zh-CN"/>
                    </w:rPr>
                  </w:pPr>
                  <w:r>
                    <w:rPr>
                      <w:rFonts w:hint="eastAsia"/>
                      <w:bCs/>
                      <w:sz w:val="24"/>
                      <w:szCs w:val="24"/>
                      <w:lang w:val="en-US" w:eastAsia="zh-CN"/>
                    </w:rPr>
                    <w:t>5.6</w:t>
                  </w:r>
                </w:p>
              </w:tc>
              <w:tc>
                <w:tcPr>
                  <w:tcW w:w="648" w:type="pct"/>
                  <w:tcBorders>
                    <w:tl2br w:val="nil"/>
                    <w:tr2bl w:val="nil"/>
                  </w:tcBorders>
                  <w:shd w:val="clear" w:color="auto" w:fill="auto"/>
                  <w:vAlign w:val="center"/>
                </w:tcPr>
                <w:p>
                  <w:pPr>
                    <w:jc w:val="center"/>
                    <w:rPr>
                      <w:sz w:val="24"/>
                      <w:szCs w:val="24"/>
                    </w:rPr>
                  </w:pPr>
                  <w:r>
                    <w:rPr>
                      <w:rFonts w:hint="eastAsia"/>
                      <w:sz w:val="24"/>
                      <w:szCs w:val="24"/>
                    </w:rPr>
                    <w:t>/</w:t>
                  </w:r>
                </w:p>
              </w:tc>
              <w:tc>
                <w:tcPr>
                  <w:tcW w:w="575" w:type="pct"/>
                  <w:tcBorders>
                    <w:tl2br w:val="nil"/>
                    <w:tr2bl w:val="nil"/>
                  </w:tcBorders>
                  <w:shd w:val="clear" w:color="auto" w:fill="auto"/>
                  <w:vAlign w:val="center"/>
                </w:tcPr>
                <w:p>
                  <w:pPr>
                    <w:jc w:val="center"/>
                    <w:rPr>
                      <w:sz w:val="24"/>
                      <w:szCs w:val="24"/>
                    </w:rPr>
                  </w:pPr>
                  <w:r>
                    <w:rPr>
                      <w:rFonts w:hint="eastAsia"/>
                      <w:sz w:val="24"/>
                      <w:szCs w:val="24"/>
                    </w:rPr>
                    <w:t>/</w:t>
                  </w:r>
                </w:p>
              </w:tc>
              <w:tc>
                <w:tcPr>
                  <w:tcW w:w="986" w:type="pct"/>
                  <w:vMerge w:val="continue"/>
                  <w:tcBorders>
                    <w:tl2br w:val="nil"/>
                    <w:tr2bl w:val="nil"/>
                  </w:tcBorders>
                  <w:shd w:val="clear" w:color="auto" w:fill="auto"/>
                  <w:vAlign w:val="center"/>
                </w:tcPr>
                <w:p>
                  <w:pPr>
                    <w:jc w:val="center"/>
                    <w:rPr>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rFonts w:hint="eastAsia" w:eastAsia="宋体"/>
                      <w:sz w:val="24"/>
                      <w:szCs w:val="24"/>
                      <w:lang w:eastAsia="zh-CN"/>
                    </w:rPr>
                  </w:pPr>
                  <w:r>
                    <w:rPr>
                      <w:rFonts w:hint="eastAsia"/>
                      <w:sz w:val="24"/>
                      <w:szCs w:val="24"/>
                      <w:lang w:val="en-US" w:eastAsia="zh-CN"/>
                    </w:rPr>
                    <w:t>3</w:t>
                  </w:r>
                </w:p>
              </w:tc>
              <w:tc>
                <w:tcPr>
                  <w:tcW w:w="706" w:type="pct"/>
                  <w:tcBorders>
                    <w:right w:val="single" w:color="auto" w:sz="4" w:space="0"/>
                    <w:tl2br w:val="nil"/>
                    <w:tr2bl w:val="nil"/>
                  </w:tcBorders>
                  <w:shd w:val="clear" w:color="auto" w:fill="auto"/>
                  <w:vAlign w:val="center"/>
                </w:tcPr>
                <w:p>
                  <w:pPr>
                    <w:ind w:right="19" w:rightChars="9"/>
                    <w:jc w:val="center"/>
                    <w:rPr>
                      <w:bCs/>
                      <w:sz w:val="24"/>
                      <w:szCs w:val="24"/>
                    </w:rPr>
                  </w:pPr>
                  <w:r>
                    <w:rPr>
                      <w:rFonts w:hint="eastAsia"/>
                      <w:bCs/>
                      <w:sz w:val="24"/>
                      <w:szCs w:val="24"/>
                    </w:rPr>
                    <w:t>含油手套</w:t>
                  </w:r>
                  <w:r>
                    <w:rPr>
                      <w:rFonts w:hint="eastAsia"/>
                      <w:bCs/>
                      <w:sz w:val="24"/>
                      <w:szCs w:val="24"/>
                      <w:lang w:val="en-US" w:eastAsia="zh-CN"/>
                    </w:rPr>
                    <w:t>及</w:t>
                  </w:r>
                  <w:r>
                    <w:rPr>
                      <w:rFonts w:hint="eastAsia"/>
                      <w:bCs/>
                      <w:sz w:val="24"/>
                      <w:szCs w:val="24"/>
                    </w:rPr>
                    <w:t>抹布</w:t>
                  </w:r>
                </w:p>
              </w:tc>
              <w:tc>
                <w:tcPr>
                  <w:tcW w:w="574" w:type="pct"/>
                  <w:tcBorders>
                    <w:right w:val="single" w:color="auto" w:sz="4" w:space="0"/>
                    <w:tl2br w:val="nil"/>
                    <w:tr2bl w:val="nil"/>
                  </w:tcBorders>
                  <w:shd w:val="clear" w:color="auto" w:fill="auto"/>
                  <w:vAlign w:val="center"/>
                </w:tcPr>
                <w:p>
                  <w:pPr>
                    <w:jc w:val="center"/>
                    <w:rPr>
                      <w:bCs/>
                      <w:sz w:val="24"/>
                      <w:szCs w:val="24"/>
                    </w:rPr>
                  </w:pPr>
                  <w:r>
                    <w:rPr>
                      <w:rFonts w:hint="eastAsia"/>
                      <w:bCs/>
                      <w:sz w:val="24"/>
                      <w:szCs w:val="24"/>
                    </w:rPr>
                    <w:t>运营维护</w:t>
                  </w:r>
                </w:p>
              </w:tc>
              <w:tc>
                <w:tcPr>
                  <w:tcW w:w="692" w:type="pct"/>
                  <w:tcBorders>
                    <w:left w:val="single" w:color="auto" w:sz="4" w:space="0"/>
                    <w:tl2br w:val="nil"/>
                    <w:tr2bl w:val="nil"/>
                  </w:tcBorders>
                  <w:shd w:val="clear" w:color="auto" w:fill="auto"/>
                  <w:vAlign w:val="center"/>
                </w:tcPr>
                <w:p>
                  <w:pPr>
                    <w:jc w:val="center"/>
                    <w:rPr>
                      <w:bCs/>
                      <w:sz w:val="24"/>
                      <w:szCs w:val="24"/>
                    </w:rPr>
                  </w:pPr>
                  <w:r>
                    <w:rPr>
                      <w:rFonts w:hint="eastAsia"/>
                      <w:bCs/>
                      <w:sz w:val="24"/>
                      <w:szCs w:val="24"/>
                    </w:rPr>
                    <w:t>/</w:t>
                  </w:r>
                </w:p>
              </w:tc>
              <w:tc>
                <w:tcPr>
                  <w:tcW w:w="575" w:type="pct"/>
                  <w:tcBorders>
                    <w:tl2br w:val="nil"/>
                    <w:tr2bl w:val="nil"/>
                  </w:tcBorders>
                  <w:shd w:val="clear" w:color="auto" w:fill="auto"/>
                  <w:vAlign w:val="center"/>
                </w:tcPr>
                <w:p>
                  <w:pPr>
                    <w:jc w:val="center"/>
                    <w:rPr>
                      <w:bCs/>
                      <w:sz w:val="24"/>
                      <w:szCs w:val="24"/>
                    </w:rPr>
                  </w:pPr>
                  <w:r>
                    <w:rPr>
                      <w:rFonts w:hint="eastAsia"/>
                      <w:bCs/>
                      <w:sz w:val="24"/>
                      <w:szCs w:val="24"/>
                    </w:rPr>
                    <w:t>0.1</w:t>
                  </w:r>
                </w:p>
              </w:tc>
              <w:tc>
                <w:tcPr>
                  <w:tcW w:w="648" w:type="pct"/>
                  <w:tcBorders>
                    <w:tl2br w:val="nil"/>
                    <w:tr2bl w:val="nil"/>
                  </w:tcBorders>
                  <w:shd w:val="clear" w:color="auto" w:fill="auto"/>
                  <w:vAlign w:val="center"/>
                </w:tcPr>
                <w:p>
                  <w:pPr>
                    <w:jc w:val="center"/>
                    <w:rPr>
                      <w:sz w:val="24"/>
                      <w:szCs w:val="24"/>
                    </w:rPr>
                  </w:pPr>
                  <w:r>
                    <w:rPr>
                      <w:rFonts w:hint="eastAsia"/>
                      <w:sz w:val="24"/>
                      <w:szCs w:val="24"/>
                    </w:rPr>
                    <w:t>/</w:t>
                  </w:r>
                </w:p>
              </w:tc>
              <w:tc>
                <w:tcPr>
                  <w:tcW w:w="575" w:type="pct"/>
                  <w:tcBorders>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0.1</w:t>
                  </w:r>
                </w:p>
              </w:tc>
              <w:tc>
                <w:tcPr>
                  <w:tcW w:w="986" w:type="pct"/>
                  <w:vMerge w:val="restart"/>
                  <w:tcBorders>
                    <w:tl2br w:val="nil"/>
                    <w:tr2bl w:val="nil"/>
                  </w:tcBorders>
                  <w:shd w:val="clear" w:color="auto" w:fill="auto"/>
                  <w:vAlign w:val="center"/>
                </w:tcPr>
                <w:p>
                  <w:pPr>
                    <w:jc w:val="center"/>
                    <w:rPr>
                      <w:sz w:val="24"/>
                      <w:szCs w:val="24"/>
                    </w:rPr>
                  </w:pPr>
                  <w:r>
                    <w:rPr>
                      <w:rFonts w:hint="eastAsia"/>
                      <w:sz w:val="24"/>
                      <w:szCs w:val="24"/>
                    </w:rPr>
                    <w:t>环卫部门清运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rFonts w:hint="eastAsia"/>
                      <w:sz w:val="24"/>
                      <w:szCs w:val="24"/>
                      <w:lang w:val="en-US" w:eastAsia="zh-CN"/>
                    </w:rPr>
                  </w:pPr>
                  <w:r>
                    <w:rPr>
                      <w:rFonts w:hint="eastAsia"/>
                      <w:sz w:val="24"/>
                      <w:szCs w:val="24"/>
                      <w:lang w:val="en-US" w:eastAsia="zh-CN"/>
                    </w:rPr>
                    <w:t>4</w:t>
                  </w:r>
                </w:p>
              </w:tc>
              <w:tc>
                <w:tcPr>
                  <w:tcW w:w="706" w:type="pct"/>
                  <w:tcBorders>
                    <w:right w:val="single" w:color="auto" w:sz="4" w:space="0"/>
                    <w:tl2br w:val="nil"/>
                    <w:tr2bl w:val="nil"/>
                  </w:tcBorders>
                  <w:shd w:val="clear" w:color="auto" w:fill="auto"/>
                  <w:vAlign w:val="center"/>
                </w:tcPr>
                <w:p>
                  <w:pPr>
                    <w:jc w:val="center"/>
                    <w:rPr>
                      <w:rFonts w:hint="eastAsia"/>
                      <w:sz w:val="24"/>
                      <w:szCs w:val="24"/>
                    </w:rPr>
                  </w:pPr>
                  <w:r>
                    <w:rPr>
                      <w:rFonts w:hint="eastAsia"/>
                      <w:sz w:val="24"/>
                      <w:szCs w:val="24"/>
                    </w:rPr>
                    <w:t>生活垃圾</w:t>
                  </w:r>
                </w:p>
              </w:tc>
              <w:tc>
                <w:tcPr>
                  <w:tcW w:w="574" w:type="pct"/>
                  <w:tcBorders>
                    <w:right w:val="single" w:color="auto" w:sz="4" w:space="0"/>
                    <w:tl2br w:val="nil"/>
                    <w:tr2bl w:val="nil"/>
                  </w:tcBorders>
                  <w:shd w:val="clear" w:color="auto" w:fill="auto"/>
                  <w:vAlign w:val="center"/>
                </w:tcPr>
                <w:p>
                  <w:pPr>
                    <w:jc w:val="center"/>
                    <w:rPr>
                      <w:rFonts w:hint="eastAsia"/>
                      <w:sz w:val="24"/>
                      <w:szCs w:val="24"/>
                    </w:rPr>
                  </w:pPr>
                  <w:r>
                    <w:rPr>
                      <w:rFonts w:hint="eastAsia"/>
                      <w:sz w:val="24"/>
                      <w:szCs w:val="24"/>
                    </w:rPr>
                    <w:t>职工生活</w:t>
                  </w:r>
                </w:p>
              </w:tc>
              <w:tc>
                <w:tcPr>
                  <w:tcW w:w="692" w:type="pct"/>
                  <w:tcBorders>
                    <w:left w:val="single" w:color="auto" w:sz="4" w:space="0"/>
                    <w:tl2br w:val="nil"/>
                    <w:tr2bl w:val="nil"/>
                  </w:tcBorders>
                  <w:shd w:val="clear" w:color="auto" w:fill="auto"/>
                  <w:vAlign w:val="center"/>
                </w:tcPr>
                <w:p>
                  <w:pPr>
                    <w:jc w:val="center"/>
                    <w:rPr>
                      <w:rFonts w:hint="eastAsia" w:eastAsia="宋体"/>
                      <w:sz w:val="24"/>
                      <w:szCs w:val="24"/>
                      <w:lang w:val="en-US" w:eastAsia="zh-CN"/>
                    </w:rPr>
                  </w:pPr>
                  <w:r>
                    <w:rPr>
                      <w:rFonts w:hint="eastAsia"/>
                      <w:sz w:val="24"/>
                      <w:szCs w:val="24"/>
                      <w:lang w:val="en-US" w:eastAsia="zh-CN"/>
                    </w:rPr>
                    <w:t>/</w:t>
                  </w:r>
                </w:p>
              </w:tc>
              <w:tc>
                <w:tcPr>
                  <w:tcW w:w="575" w:type="pct"/>
                  <w:tcBorders>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1.8</w:t>
                  </w:r>
                </w:p>
              </w:tc>
              <w:tc>
                <w:tcPr>
                  <w:tcW w:w="648" w:type="pct"/>
                  <w:tcBorders>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0.15</w:t>
                  </w:r>
                </w:p>
              </w:tc>
              <w:tc>
                <w:tcPr>
                  <w:tcW w:w="575" w:type="pct"/>
                  <w:tcBorders>
                    <w:tl2br w:val="nil"/>
                    <w:tr2bl w:val="nil"/>
                  </w:tcBorders>
                  <w:shd w:val="clear" w:color="auto" w:fill="auto"/>
                  <w:vAlign w:val="center"/>
                </w:tcPr>
                <w:p>
                  <w:pPr>
                    <w:jc w:val="center"/>
                    <w:rPr>
                      <w:rFonts w:hint="eastAsia"/>
                      <w:sz w:val="24"/>
                      <w:szCs w:val="24"/>
                    </w:rPr>
                  </w:pPr>
                  <w:r>
                    <w:rPr>
                      <w:rFonts w:hint="eastAsia"/>
                      <w:sz w:val="24"/>
                      <w:szCs w:val="24"/>
                      <w:lang w:val="en-US" w:eastAsia="zh-CN"/>
                    </w:rPr>
                    <w:t>1.8</w:t>
                  </w:r>
                </w:p>
              </w:tc>
              <w:tc>
                <w:tcPr>
                  <w:tcW w:w="986" w:type="pct"/>
                  <w:vMerge w:val="continue"/>
                  <w:tcBorders>
                    <w:tl2br w:val="nil"/>
                    <w:tr2bl w:val="nil"/>
                  </w:tcBorders>
                  <w:shd w:val="clear" w:color="auto" w:fill="auto"/>
                  <w:vAlign w:val="center"/>
                </w:tcPr>
                <w:p>
                  <w:pPr>
                    <w:jc w:val="center"/>
                    <w:rPr>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rFonts w:hint="eastAsia" w:eastAsia="宋体"/>
                      <w:sz w:val="24"/>
                      <w:szCs w:val="24"/>
                      <w:lang w:eastAsia="zh-CN"/>
                    </w:rPr>
                  </w:pPr>
                  <w:r>
                    <w:rPr>
                      <w:rFonts w:hint="eastAsia"/>
                      <w:sz w:val="24"/>
                      <w:szCs w:val="24"/>
                      <w:lang w:val="en-US" w:eastAsia="zh-CN"/>
                    </w:rPr>
                    <w:t>5</w:t>
                  </w:r>
                </w:p>
              </w:tc>
              <w:tc>
                <w:tcPr>
                  <w:tcW w:w="706" w:type="pct"/>
                  <w:tcBorders>
                    <w:right w:val="single" w:color="auto" w:sz="4" w:space="0"/>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餐厨垃圾</w:t>
                  </w:r>
                </w:p>
              </w:tc>
              <w:tc>
                <w:tcPr>
                  <w:tcW w:w="574" w:type="pct"/>
                  <w:tcBorders>
                    <w:right w:val="single" w:color="auto" w:sz="4" w:space="0"/>
                    <w:tl2br w:val="nil"/>
                    <w:tr2bl w:val="nil"/>
                  </w:tcBorders>
                  <w:shd w:val="clear" w:color="auto" w:fill="auto"/>
                  <w:vAlign w:val="center"/>
                </w:tcPr>
                <w:p>
                  <w:pPr>
                    <w:jc w:val="center"/>
                    <w:rPr>
                      <w:sz w:val="24"/>
                      <w:szCs w:val="24"/>
                    </w:rPr>
                  </w:pPr>
                  <w:r>
                    <w:rPr>
                      <w:rFonts w:hint="eastAsia"/>
                      <w:sz w:val="24"/>
                      <w:szCs w:val="24"/>
                    </w:rPr>
                    <w:t>职工生活</w:t>
                  </w:r>
                </w:p>
              </w:tc>
              <w:tc>
                <w:tcPr>
                  <w:tcW w:w="692" w:type="pct"/>
                  <w:tcBorders>
                    <w:left w:val="single" w:color="auto" w:sz="4" w:space="0"/>
                    <w:tl2br w:val="nil"/>
                    <w:tr2bl w:val="nil"/>
                  </w:tcBorders>
                  <w:shd w:val="clear" w:color="auto" w:fill="auto"/>
                  <w:vAlign w:val="center"/>
                </w:tcPr>
                <w:p>
                  <w:pPr>
                    <w:jc w:val="center"/>
                    <w:rPr>
                      <w:sz w:val="24"/>
                      <w:szCs w:val="24"/>
                    </w:rPr>
                  </w:pPr>
                  <w:r>
                    <w:rPr>
                      <w:rFonts w:hint="eastAsia"/>
                      <w:sz w:val="24"/>
                      <w:szCs w:val="24"/>
                    </w:rPr>
                    <w:t>/</w:t>
                  </w:r>
                </w:p>
              </w:tc>
              <w:tc>
                <w:tcPr>
                  <w:tcW w:w="575" w:type="pct"/>
                  <w:tcBorders>
                    <w:tl2br w:val="nil"/>
                    <w:tr2bl w:val="nil"/>
                  </w:tcBorders>
                  <w:shd w:val="clear" w:color="auto" w:fill="auto"/>
                  <w:vAlign w:val="center"/>
                </w:tcPr>
                <w:p>
                  <w:pPr>
                    <w:jc w:val="center"/>
                    <w:rPr>
                      <w:sz w:val="24"/>
                      <w:szCs w:val="24"/>
                    </w:rPr>
                  </w:pPr>
                  <w:r>
                    <w:rPr>
                      <w:rFonts w:hint="eastAsia"/>
                      <w:sz w:val="24"/>
                      <w:szCs w:val="24"/>
                    </w:rPr>
                    <w:t>1.1</w:t>
                  </w:r>
                </w:p>
              </w:tc>
              <w:tc>
                <w:tcPr>
                  <w:tcW w:w="648" w:type="pct"/>
                  <w:tcBorders>
                    <w:tl2br w:val="nil"/>
                    <w:tr2bl w:val="nil"/>
                  </w:tcBorders>
                  <w:shd w:val="clear" w:color="auto" w:fill="auto"/>
                  <w:vAlign w:val="center"/>
                </w:tcPr>
                <w:p>
                  <w:pPr>
                    <w:jc w:val="center"/>
                    <w:rPr>
                      <w:sz w:val="24"/>
                      <w:szCs w:val="24"/>
                    </w:rPr>
                  </w:pPr>
                  <w:r>
                    <w:rPr>
                      <w:rFonts w:hint="eastAsia"/>
                      <w:sz w:val="24"/>
                      <w:szCs w:val="24"/>
                    </w:rPr>
                    <w:t>0.05</w:t>
                  </w:r>
                </w:p>
              </w:tc>
              <w:tc>
                <w:tcPr>
                  <w:tcW w:w="575" w:type="pct"/>
                  <w:tcBorders>
                    <w:tl2br w:val="nil"/>
                    <w:tr2bl w:val="nil"/>
                  </w:tcBorders>
                  <w:shd w:val="clear" w:color="auto" w:fill="auto"/>
                  <w:vAlign w:val="center"/>
                </w:tcPr>
                <w:p>
                  <w:pPr>
                    <w:jc w:val="center"/>
                    <w:rPr>
                      <w:sz w:val="24"/>
                      <w:szCs w:val="24"/>
                    </w:rPr>
                  </w:pPr>
                  <w:r>
                    <w:rPr>
                      <w:rFonts w:hint="eastAsia"/>
                      <w:sz w:val="24"/>
                      <w:szCs w:val="24"/>
                    </w:rPr>
                    <w:t>1.1</w:t>
                  </w:r>
                </w:p>
              </w:tc>
              <w:tc>
                <w:tcPr>
                  <w:tcW w:w="986" w:type="pct"/>
                  <w:vMerge w:val="continue"/>
                  <w:tcBorders>
                    <w:tl2br w:val="nil"/>
                    <w:tr2bl w:val="nil"/>
                  </w:tcBorders>
                  <w:shd w:val="clear" w:color="auto" w:fill="auto"/>
                  <w:vAlign w:val="center"/>
                </w:tcPr>
                <w:p>
                  <w:pPr>
                    <w:jc w:val="center"/>
                    <w:rPr>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rFonts w:hint="default"/>
                      <w:sz w:val="24"/>
                      <w:szCs w:val="24"/>
                      <w:lang w:val="en-US" w:eastAsia="zh-CN"/>
                    </w:rPr>
                  </w:pPr>
                  <w:r>
                    <w:rPr>
                      <w:rFonts w:hint="eastAsia"/>
                      <w:sz w:val="24"/>
                      <w:szCs w:val="24"/>
                      <w:lang w:val="en-US" w:eastAsia="zh-CN"/>
                    </w:rPr>
                    <w:t>6</w:t>
                  </w:r>
                </w:p>
              </w:tc>
              <w:tc>
                <w:tcPr>
                  <w:tcW w:w="706" w:type="pct"/>
                  <w:tcBorders>
                    <w:right w:val="single" w:color="auto" w:sz="4" w:space="0"/>
                    <w:tl2br w:val="nil"/>
                    <w:tr2bl w:val="nil"/>
                  </w:tcBorders>
                  <w:shd w:val="clear" w:color="auto" w:fill="auto"/>
                  <w:vAlign w:val="center"/>
                </w:tcPr>
                <w:p>
                  <w:pPr>
                    <w:jc w:val="center"/>
                    <w:rPr>
                      <w:rFonts w:hint="default"/>
                      <w:sz w:val="24"/>
                      <w:szCs w:val="24"/>
                      <w:lang w:val="en-US" w:eastAsia="zh-CN"/>
                    </w:rPr>
                  </w:pPr>
                  <w:r>
                    <w:rPr>
                      <w:rFonts w:hint="eastAsia"/>
                      <w:sz w:val="24"/>
                      <w:szCs w:val="24"/>
                      <w:lang w:val="en-US" w:eastAsia="zh-CN"/>
                    </w:rPr>
                    <w:t>污泥</w:t>
                  </w:r>
                </w:p>
              </w:tc>
              <w:tc>
                <w:tcPr>
                  <w:tcW w:w="574" w:type="pct"/>
                  <w:tcBorders>
                    <w:right w:val="single" w:color="auto" w:sz="4" w:space="0"/>
                    <w:tl2br w:val="nil"/>
                    <w:tr2bl w:val="nil"/>
                  </w:tcBorders>
                  <w:shd w:val="clear" w:color="auto" w:fill="auto"/>
                  <w:vAlign w:val="center"/>
                </w:tcPr>
                <w:p>
                  <w:pPr>
                    <w:jc w:val="center"/>
                    <w:rPr>
                      <w:rFonts w:hint="eastAsia"/>
                      <w:sz w:val="24"/>
                      <w:szCs w:val="24"/>
                    </w:rPr>
                  </w:pPr>
                  <w:r>
                    <w:rPr>
                      <w:rFonts w:hint="eastAsia"/>
                      <w:sz w:val="24"/>
                      <w:szCs w:val="24"/>
                    </w:rPr>
                    <w:t>职工生活</w:t>
                  </w:r>
                </w:p>
              </w:tc>
              <w:tc>
                <w:tcPr>
                  <w:tcW w:w="692" w:type="pct"/>
                  <w:tcBorders>
                    <w:left w:val="single" w:color="auto" w:sz="4" w:space="0"/>
                    <w:tl2br w:val="nil"/>
                    <w:tr2bl w:val="nil"/>
                  </w:tcBorders>
                  <w:shd w:val="clear" w:color="auto" w:fill="auto"/>
                  <w:vAlign w:val="center"/>
                </w:tcPr>
                <w:p>
                  <w:pPr>
                    <w:jc w:val="center"/>
                    <w:rPr>
                      <w:rFonts w:hint="eastAsia" w:eastAsia="宋体"/>
                      <w:sz w:val="24"/>
                      <w:szCs w:val="24"/>
                      <w:lang w:val="en-US" w:eastAsia="zh-CN"/>
                    </w:rPr>
                  </w:pPr>
                  <w:r>
                    <w:rPr>
                      <w:rFonts w:hint="eastAsia"/>
                      <w:sz w:val="24"/>
                      <w:szCs w:val="24"/>
                      <w:lang w:val="en-US" w:eastAsia="zh-CN"/>
                    </w:rPr>
                    <w:t>/</w:t>
                  </w:r>
                </w:p>
              </w:tc>
              <w:tc>
                <w:tcPr>
                  <w:tcW w:w="575" w:type="pct"/>
                  <w:tcBorders>
                    <w:tl2br w:val="nil"/>
                    <w:tr2bl w:val="nil"/>
                  </w:tcBorders>
                  <w:shd w:val="clear" w:color="auto" w:fill="auto"/>
                  <w:vAlign w:val="center"/>
                </w:tcPr>
                <w:p>
                  <w:pPr>
                    <w:jc w:val="center"/>
                    <w:rPr>
                      <w:rFonts w:hint="default" w:eastAsia="宋体"/>
                      <w:sz w:val="24"/>
                      <w:szCs w:val="24"/>
                      <w:lang w:val="en-US" w:eastAsia="zh-CN"/>
                    </w:rPr>
                  </w:pPr>
                  <w:r>
                    <w:rPr>
                      <w:rFonts w:hint="eastAsia"/>
                      <w:sz w:val="24"/>
                      <w:szCs w:val="24"/>
                      <w:lang w:val="en-US" w:eastAsia="zh-CN"/>
                    </w:rPr>
                    <w:t>0.2</w:t>
                  </w:r>
                </w:p>
              </w:tc>
              <w:tc>
                <w:tcPr>
                  <w:tcW w:w="648" w:type="pct"/>
                  <w:tcBorders>
                    <w:tl2br w:val="nil"/>
                    <w:tr2bl w:val="nil"/>
                  </w:tcBorders>
                  <w:shd w:val="clear" w:color="auto" w:fill="auto"/>
                  <w:vAlign w:val="center"/>
                </w:tcPr>
                <w:p>
                  <w:pPr>
                    <w:jc w:val="center"/>
                    <w:rPr>
                      <w:rFonts w:hint="eastAsia" w:eastAsia="宋体"/>
                      <w:sz w:val="24"/>
                      <w:szCs w:val="24"/>
                      <w:lang w:val="en-US" w:eastAsia="zh-CN"/>
                    </w:rPr>
                  </w:pPr>
                  <w:r>
                    <w:rPr>
                      <w:rFonts w:hint="eastAsia"/>
                      <w:sz w:val="24"/>
                      <w:szCs w:val="24"/>
                      <w:lang w:val="en-US" w:eastAsia="zh-CN"/>
                    </w:rPr>
                    <w:t>/</w:t>
                  </w:r>
                </w:p>
              </w:tc>
              <w:tc>
                <w:tcPr>
                  <w:tcW w:w="575" w:type="pct"/>
                  <w:tcBorders>
                    <w:tl2br w:val="nil"/>
                    <w:tr2bl w:val="nil"/>
                  </w:tcBorders>
                  <w:shd w:val="clear" w:color="auto" w:fill="auto"/>
                  <w:vAlign w:val="center"/>
                </w:tcPr>
                <w:p>
                  <w:pPr>
                    <w:jc w:val="center"/>
                    <w:rPr>
                      <w:rFonts w:hint="eastAsia"/>
                      <w:sz w:val="24"/>
                      <w:szCs w:val="24"/>
                    </w:rPr>
                  </w:pPr>
                  <w:r>
                    <w:rPr>
                      <w:rFonts w:hint="eastAsia"/>
                      <w:sz w:val="24"/>
                      <w:szCs w:val="24"/>
                      <w:lang w:val="en-US" w:eastAsia="zh-CN"/>
                    </w:rPr>
                    <w:t>0.2</w:t>
                  </w:r>
                </w:p>
              </w:tc>
              <w:tc>
                <w:tcPr>
                  <w:tcW w:w="986" w:type="pct"/>
                  <w:vMerge w:val="continue"/>
                  <w:tcBorders>
                    <w:tl2br w:val="nil"/>
                    <w:tr2bl w:val="nil"/>
                  </w:tcBorders>
                  <w:shd w:val="clear" w:color="auto" w:fill="auto"/>
                  <w:vAlign w:val="center"/>
                </w:tcPr>
                <w:p>
                  <w:pPr>
                    <w:jc w:val="center"/>
                    <w:rPr>
                      <w:sz w:val="24"/>
                      <w:szCs w:val="24"/>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wAfter w:w="2" w:type="pct"/>
                <w:cantSplit/>
                <w:trHeight w:val="340" w:hRule="atLeast"/>
                <w:jc w:val="center"/>
              </w:trPr>
              <w:tc>
                <w:tcPr>
                  <w:tcW w:w="237" w:type="pct"/>
                  <w:tcBorders>
                    <w:tl2br w:val="nil"/>
                    <w:tr2bl w:val="nil"/>
                  </w:tcBorders>
                  <w:shd w:val="clear" w:color="auto" w:fill="auto"/>
                  <w:vAlign w:val="center"/>
                </w:tcPr>
                <w:p>
                  <w:pPr>
                    <w:jc w:val="center"/>
                    <w:rPr>
                      <w:sz w:val="24"/>
                      <w:szCs w:val="24"/>
                    </w:rPr>
                  </w:pPr>
                  <w:r>
                    <w:rPr>
                      <w:rFonts w:hint="eastAsia"/>
                      <w:sz w:val="24"/>
                      <w:szCs w:val="24"/>
                    </w:rPr>
                    <w:t>备注</w:t>
                  </w:r>
                </w:p>
              </w:tc>
              <w:tc>
                <w:tcPr>
                  <w:tcW w:w="4759" w:type="pct"/>
                  <w:gridSpan w:val="7"/>
                  <w:tcBorders>
                    <w:tl2br w:val="nil"/>
                    <w:tr2bl w:val="nil"/>
                  </w:tcBorders>
                  <w:shd w:val="clear" w:color="auto" w:fill="auto"/>
                  <w:vAlign w:val="center"/>
                </w:tcPr>
                <w:p>
                  <w:pPr>
                    <w:rPr>
                      <w:sz w:val="24"/>
                      <w:szCs w:val="24"/>
                    </w:rPr>
                  </w:pPr>
                  <w:r>
                    <w:rPr>
                      <w:rFonts w:hint="eastAsia"/>
                      <w:sz w:val="24"/>
                      <w:szCs w:val="24"/>
                    </w:rPr>
                    <w:t>1、实际产生量以调试期间用量折算得出，年产生量为预估量。</w:t>
                  </w:r>
                </w:p>
              </w:tc>
            </w:tr>
          </w:tbl>
          <w:tbl>
            <w:tblPr>
              <w:tblStyle w:val="3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09"/>
              <w:gridCol w:w="320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auto"/>
              </w:trPr>
              <w:tc>
                <w:tcPr>
                  <w:tcW w:w="1666" w:type="pct"/>
                </w:tcPr>
                <w:p>
                  <w:pPr>
                    <w:spacing w:beforeLines="50" w:line="416" w:lineRule="auto"/>
                    <w:rPr>
                      <w:rFonts w:hint="eastAsia" w:eastAsia="宋体"/>
                      <w:b/>
                      <w:sz w:val="28"/>
                      <w:szCs w:val="28"/>
                      <w:vertAlign w:val="baseline"/>
                      <w:lang w:eastAsia="zh-CN"/>
                    </w:rPr>
                  </w:pPr>
                  <w:r>
                    <w:rPr>
                      <w:rFonts w:hint="eastAsia" w:eastAsia="宋体"/>
                      <w:b/>
                      <w:sz w:val="28"/>
                      <w:szCs w:val="28"/>
                      <w:vertAlign w:val="baseline"/>
                      <w:lang w:eastAsia="zh-CN"/>
                    </w:rPr>
                    <w:drawing>
                      <wp:inline distT="0" distB="0" distL="114300" distR="114300">
                        <wp:extent cx="1891030" cy="1417955"/>
                        <wp:effectExtent l="0" t="0" r="13970" b="10795"/>
                        <wp:docPr id="6" name="图片 6" descr="d0b383cbe83c2f53bf8c8efe5815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b383cbe83c2f53bf8c8efe5815ba8"/>
                                <pic:cNvPicPr>
                                  <a:picLocks noChangeAspect="1"/>
                                </pic:cNvPicPr>
                              </pic:nvPicPr>
                              <pic:blipFill>
                                <a:blip r:embed="rId15"/>
                                <a:stretch>
                                  <a:fillRect/>
                                </a:stretch>
                              </pic:blipFill>
                              <pic:spPr>
                                <a:xfrm>
                                  <a:off x="0" y="0"/>
                                  <a:ext cx="1891030" cy="1417955"/>
                                </a:xfrm>
                                <a:prstGeom prst="rect">
                                  <a:avLst/>
                                </a:prstGeom>
                              </pic:spPr>
                            </pic:pic>
                          </a:graphicData>
                        </a:graphic>
                      </wp:inline>
                    </w:drawing>
                  </w:r>
                </w:p>
              </w:tc>
              <w:tc>
                <w:tcPr>
                  <w:tcW w:w="1666" w:type="pct"/>
                </w:tcPr>
                <w:p>
                  <w:pPr>
                    <w:spacing w:beforeLines="50" w:line="416" w:lineRule="auto"/>
                    <w:rPr>
                      <w:rFonts w:hint="eastAsia" w:eastAsia="宋体"/>
                      <w:b/>
                      <w:sz w:val="28"/>
                      <w:szCs w:val="28"/>
                      <w:vertAlign w:val="baseline"/>
                      <w:lang w:eastAsia="zh-CN"/>
                    </w:rPr>
                  </w:pPr>
                  <w:r>
                    <w:rPr>
                      <w:rFonts w:hint="eastAsia" w:eastAsia="宋体"/>
                      <w:b/>
                      <w:sz w:val="28"/>
                      <w:szCs w:val="28"/>
                      <w:vertAlign w:val="baseline"/>
                      <w:lang w:eastAsia="zh-CN"/>
                    </w:rPr>
                    <w:drawing>
                      <wp:inline distT="0" distB="0" distL="114300" distR="114300">
                        <wp:extent cx="1901190" cy="1426210"/>
                        <wp:effectExtent l="0" t="0" r="3810" b="2540"/>
                        <wp:docPr id="7" name="图片 7" descr="e953f7819416a9d7b10ebe65e14b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953f7819416a9d7b10ebe65e14b35d"/>
                                <pic:cNvPicPr>
                                  <a:picLocks noChangeAspect="1"/>
                                </pic:cNvPicPr>
                              </pic:nvPicPr>
                              <pic:blipFill>
                                <a:blip r:embed="rId16"/>
                                <a:stretch>
                                  <a:fillRect/>
                                </a:stretch>
                              </pic:blipFill>
                              <pic:spPr>
                                <a:xfrm>
                                  <a:off x="0" y="0"/>
                                  <a:ext cx="1901190" cy="1426210"/>
                                </a:xfrm>
                                <a:prstGeom prst="rect">
                                  <a:avLst/>
                                </a:prstGeom>
                              </pic:spPr>
                            </pic:pic>
                          </a:graphicData>
                        </a:graphic>
                      </wp:inline>
                    </w:drawing>
                  </w:r>
                </w:p>
              </w:tc>
              <w:tc>
                <w:tcPr>
                  <w:tcW w:w="1667" w:type="pct"/>
                </w:tcPr>
                <w:p>
                  <w:pPr>
                    <w:spacing w:beforeLines="50" w:line="416" w:lineRule="auto"/>
                    <w:rPr>
                      <w:rFonts w:hint="eastAsia" w:eastAsia="宋体"/>
                      <w:b/>
                      <w:sz w:val="28"/>
                      <w:szCs w:val="28"/>
                      <w:vertAlign w:val="baseline"/>
                      <w:lang w:eastAsia="zh-CN"/>
                    </w:rPr>
                  </w:pPr>
                  <w:r>
                    <w:rPr>
                      <w:rFonts w:hint="eastAsia" w:eastAsia="宋体"/>
                      <w:b/>
                      <w:sz w:val="28"/>
                      <w:szCs w:val="28"/>
                      <w:vertAlign w:val="baseline"/>
                      <w:lang w:eastAsia="zh-CN"/>
                    </w:rPr>
                    <w:drawing>
                      <wp:inline distT="0" distB="0" distL="114300" distR="114300">
                        <wp:extent cx="1901190" cy="1426210"/>
                        <wp:effectExtent l="0" t="0" r="3810" b="2540"/>
                        <wp:docPr id="8" name="图片 8" descr="7806804f362a696c2b6c08cc61b3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806804f362a696c2b6c08cc61b38b5"/>
                                <pic:cNvPicPr>
                                  <a:picLocks noChangeAspect="1"/>
                                </pic:cNvPicPr>
                              </pic:nvPicPr>
                              <pic:blipFill>
                                <a:blip r:embed="rId17"/>
                                <a:stretch>
                                  <a:fillRect/>
                                </a:stretch>
                              </pic:blipFill>
                              <pic:spPr>
                                <a:xfrm>
                                  <a:off x="0" y="0"/>
                                  <a:ext cx="1901190" cy="14262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wBefore w:w="0" w:type="auto"/>
              </w:trPr>
              <w:tc>
                <w:tcPr>
                  <w:tcW w:w="5000" w:type="pct"/>
                  <w:gridSpan w:val="3"/>
                </w:tcPr>
                <w:p>
                  <w:pPr>
                    <w:spacing w:beforeLines="50" w:line="416" w:lineRule="auto"/>
                    <w:jc w:val="center"/>
                    <w:rPr>
                      <w:rFonts w:hint="default"/>
                      <w:b/>
                      <w:sz w:val="28"/>
                      <w:szCs w:val="28"/>
                      <w:vertAlign w:val="baseline"/>
                      <w:lang w:val="en-US"/>
                    </w:rPr>
                  </w:pPr>
                  <w:r>
                    <w:rPr>
                      <w:rFonts w:hint="eastAsia"/>
                      <w:b w:val="0"/>
                      <w:bCs w:val="0"/>
                      <w:sz w:val="24"/>
                      <w:szCs w:val="24"/>
                      <w:vertAlign w:val="baseline"/>
                      <w:lang w:val="en-US" w:eastAsia="zh-CN"/>
                    </w:rPr>
                    <w:t>图5.3 危废仓库</w:t>
                  </w:r>
                </w:p>
              </w:tc>
            </w:tr>
          </w:tbl>
          <w:p>
            <w:pPr>
              <w:spacing w:beforeLines="50" w:line="416" w:lineRule="auto"/>
              <w:rPr>
                <w:rFonts w:hint="eastAsia"/>
                <w:b/>
                <w:sz w:val="28"/>
                <w:szCs w:val="28"/>
              </w:rPr>
            </w:pPr>
          </w:p>
          <w:p>
            <w:pPr>
              <w:spacing w:beforeLines="50" w:line="416" w:lineRule="auto"/>
              <w:rPr>
                <w:b/>
                <w:sz w:val="28"/>
                <w:szCs w:val="28"/>
              </w:rPr>
            </w:pPr>
            <w:r>
              <w:rPr>
                <w:rFonts w:hint="eastAsia"/>
                <w:b/>
                <w:sz w:val="28"/>
                <w:szCs w:val="28"/>
              </w:rPr>
              <w:t>5.5、生态保护</w:t>
            </w:r>
          </w:p>
          <w:p>
            <w:pPr>
              <w:pStyle w:val="2"/>
              <w:spacing w:before="0" w:after="0"/>
              <w:ind w:firstLine="480" w:firstLineChars="200"/>
              <w:rPr>
                <w:b w:val="0"/>
                <w:bCs w:val="0"/>
                <w:sz w:val="24"/>
                <w:szCs w:val="24"/>
              </w:rPr>
            </w:pPr>
            <w:r>
              <w:rPr>
                <w:rFonts w:hint="eastAsia"/>
                <w:b w:val="0"/>
                <w:bCs w:val="0"/>
                <w:sz w:val="24"/>
                <w:szCs w:val="24"/>
              </w:rPr>
              <w:t>本项目新增</w:t>
            </w:r>
            <w:r>
              <w:rPr>
                <w:rFonts w:hint="eastAsia"/>
                <w:b w:val="0"/>
                <w:bCs w:val="0"/>
                <w:sz w:val="24"/>
                <w:szCs w:val="24"/>
                <w:lang w:val="en-US" w:eastAsia="zh-CN"/>
              </w:rPr>
              <w:t>33</w:t>
            </w:r>
            <w:r>
              <w:rPr>
                <w:rFonts w:hint="eastAsia"/>
                <w:b w:val="0"/>
                <w:bCs w:val="0"/>
                <w:sz w:val="24"/>
                <w:szCs w:val="24"/>
              </w:rPr>
              <w:t>台风机结构使原本</w:t>
            </w:r>
            <w:r>
              <w:rPr>
                <w:rFonts w:hint="eastAsia"/>
                <w:b w:val="0"/>
                <w:bCs w:val="0"/>
                <w:sz w:val="24"/>
                <w:szCs w:val="24"/>
                <w:lang w:val="en-US" w:eastAsia="zh-CN"/>
              </w:rPr>
              <w:t>较</w:t>
            </w:r>
            <w:r>
              <w:rPr>
                <w:rFonts w:hint="eastAsia"/>
                <w:b w:val="0"/>
                <w:bCs w:val="0"/>
                <w:sz w:val="24"/>
                <w:szCs w:val="24"/>
              </w:rPr>
              <w:t>单一的自然景观生态结构发生一定的变化，就风机本身而言，将为这一区域增添色彩，形成风电特色景观。</w:t>
            </w:r>
          </w:p>
          <w:p>
            <w:pPr>
              <w:spacing w:line="416" w:lineRule="auto"/>
              <w:ind w:firstLine="480" w:firstLineChars="200"/>
              <w:rPr>
                <w:sz w:val="24"/>
              </w:rPr>
            </w:pPr>
            <w:r>
              <w:rPr>
                <w:rFonts w:hint="eastAsia"/>
                <w:sz w:val="24"/>
              </w:rPr>
              <w:t>项目所在地周边无鸟类栖息地，且周边非高度鸟类迁徙区域，对候鸟迁徙、鸟类栖息地影响较小。</w:t>
            </w:r>
          </w:p>
          <w:p>
            <w:pPr>
              <w:pStyle w:val="2"/>
              <w:spacing w:before="0" w:after="0"/>
              <w:ind w:firstLine="480" w:firstLineChars="200"/>
              <w:rPr>
                <w:b w:val="0"/>
                <w:bCs w:val="0"/>
                <w:sz w:val="24"/>
                <w:szCs w:val="24"/>
              </w:rPr>
            </w:pPr>
            <w:r>
              <w:rPr>
                <w:rFonts w:hint="eastAsia"/>
                <w:b w:val="0"/>
                <w:bCs w:val="0"/>
                <w:sz w:val="24"/>
                <w:szCs w:val="24"/>
              </w:rPr>
              <w:t>本项目风机为300m范围内无居民，不存在光影扰民</w:t>
            </w:r>
            <w:r>
              <w:rPr>
                <w:rFonts w:hint="eastAsia"/>
                <w:b w:val="0"/>
                <w:bCs w:val="0"/>
                <w:sz w:val="24"/>
                <w:szCs w:val="24"/>
                <w:lang w:eastAsia="zh-CN"/>
              </w:rPr>
              <w:t>现象</w:t>
            </w:r>
            <w:r>
              <w:rPr>
                <w:rFonts w:hint="eastAsia"/>
                <w:b w:val="0"/>
                <w:bCs w:val="0"/>
                <w:sz w:val="24"/>
                <w:szCs w:val="24"/>
              </w:rPr>
              <w:t>。</w:t>
            </w:r>
          </w:p>
          <w:p>
            <w:pPr>
              <w:spacing w:line="360" w:lineRule="auto"/>
              <w:ind w:right="-34"/>
              <w:rPr>
                <w:b/>
                <w:sz w:val="28"/>
                <w:szCs w:val="28"/>
              </w:rPr>
            </w:pPr>
            <w:r>
              <w:rPr>
                <w:rFonts w:hint="eastAsia"/>
                <w:b/>
                <w:sz w:val="28"/>
                <w:szCs w:val="28"/>
              </w:rPr>
              <w:t>5.6环保设施投资及“三同时”落实情况</w:t>
            </w:r>
          </w:p>
          <w:p>
            <w:pPr>
              <w:spacing w:line="360" w:lineRule="auto"/>
              <w:ind w:firstLine="480" w:firstLineChars="200"/>
              <w:rPr>
                <w:sz w:val="24"/>
              </w:rPr>
            </w:pPr>
            <w:r>
              <w:rPr>
                <w:sz w:val="24"/>
              </w:rPr>
              <w:t>本项目</w:t>
            </w:r>
            <w:r>
              <w:rPr>
                <w:rFonts w:hint="eastAsia"/>
                <w:sz w:val="24"/>
              </w:rPr>
              <w:t>实际总投资</w:t>
            </w:r>
            <w:r>
              <w:rPr>
                <w:rFonts w:hint="eastAsia"/>
                <w:sz w:val="24"/>
                <w:lang w:val="en-US" w:eastAsia="zh-CN"/>
              </w:rPr>
              <w:t>62513</w:t>
            </w:r>
            <w:r>
              <w:rPr>
                <w:rFonts w:hint="eastAsia"/>
                <w:sz w:val="24"/>
              </w:rPr>
              <w:t>万元人民币，其中环保投资约</w:t>
            </w:r>
            <w:r>
              <w:rPr>
                <w:rFonts w:hint="eastAsia"/>
                <w:sz w:val="24"/>
                <w:lang w:val="en-US" w:eastAsia="zh-CN"/>
              </w:rPr>
              <w:t>400</w:t>
            </w:r>
            <w:r>
              <w:rPr>
                <w:rFonts w:hint="eastAsia"/>
                <w:sz w:val="24"/>
              </w:rPr>
              <w:t>万元，占总投资比例为</w:t>
            </w:r>
            <w:r>
              <w:rPr>
                <w:rFonts w:hint="eastAsia"/>
                <w:sz w:val="24"/>
                <w:lang w:val="en-US" w:eastAsia="zh-CN"/>
              </w:rPr>
              <w:t>0.64</w:t>
            </w:r>
            <w:r>
              <w:rPr>
                <w:rFonts w:hint="eastAsia"/>
                <w:sz w:val="24"/>
              </w:rPr>
              <w:t>%。</w:t>
            </w:r>
          </w:p>
          <w:p>
            <w:pPr>
              <w:spacing w:beforeLines="30"/>
              <w:jc w:val="center"/>
              <w:rPr>
                <w:b/>
                <w:sz w:val="24"/>
              </w:rPr>
            </w:pPr>
            <w:r>
              <w:rPr>
                <w:bCs/>
                <w:sz w:val="24"/>
              </w:rPr>
              <w:t>表</w:t>
            </w:r>
            <w:r>
              <w:rPr>
                <w:rFonts w:hint="eastAsia"/>
                <w:bCs/>
                <w:sz w:val="24"/>
              </w:rPr>
              <w:t xml:space="preserve">5.2 </w:t>
            </w:r>
            <w:r>
              <w:rPr>
                <w:bCs/>
                <w:sz w:val="24"/>
              </w:rPr>
              <w:t xml:space="preserve"> 建设项目环保“三同时”检查一览表</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2403"/>
              <w:gridCol w:w="1706"/>
              <w:gridCol w:w="2347"/>
              <w:gridCol w:w="1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43" w:type="pct"/>
                  <w:vMerge w:val="restart"/>
                  <w:vAlign w:val="center"/>
                </w:tcPr>
                <w:p>
                  <w:pPr>
                    <w:spacing w:line="240" w:lineRule="exact"/>
                    <w:jc w:val="center"/>
                    <w:rPr>
                      <w:sz w:val="24"/>
                      <w:szCs w:val="24"/>
                    </w:rPr>
                  </w:pPr>
                  <w:r>
                    <w:rPr>
                      <w:rFonts w:hint="eastAsia"/>
                      <w:sz w:val="24"/>
                      <w:szCs w:val="24"/>
                    </w:rPr>
                    <w:t>项目名称</w:t>
                  </w:r>
                </w:p>
              </w:tc>
              <w:tc>
                <w:tcPr>
                  <w:tcW w:w="4156" w:type="pct"/>
                  <w:gridSpan w:val="4"/>
                  <w:vAlign w:val="center"/>
                </w:tcPr>
                <w:p>
                  <w:pPr>
                    <w:spacing w:line="240" w:lineRule="exact"/>
                    <w:jc w:val="center"/>
                    <w:rPr>
                      <w:color w:val="000000" w:themeColor="text1"/>
                      <w:sz w:val="24"/>
                      <w:szCs w:val="24"/>
                    </w:rPr>
                  </w:pPr>
                  <w:r>
                    <w:rPr>
                      <w:rFonts w:hint="eastAsia"/>
                      <w:color w:val="000000" w:themeColor="text1"/>
                      <w:sz w:val="24"/>
                      <w:szCs w:val="24"/>
                      <w:lang w:eastAsia="zh-CN"/>
                    </w:rPr>
                    <w:t>邳州市车辐山戴庄风电场项目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3" w:type="pct"/>
                  <w:vMerge w:val="continue"/>
                  <w:vAlign w:val="center"/>
                </w:tcPr>
                <w:p>
                  <w:pPr>
                    <w:spacing w:line="240" w:lineRule="exact"/>
                    <w:jc w:val="center"/>
                    <w:rPr>
                      <w:sz w:val="24"/>
                      <w:szCs w:val="24"/>
                    </w:rPr>
                  </w:pPr>
                </w:p>
              </w:tc>
              <w:tc>
                <w:tcPr>
                  <w:tcW w:w="2134" w:type="pct"/>
                  <w:gridSpan w:val="2"/>
                  <w:vAlign w:val="center"/>
                </w:tcPr>
                <w:p>
                  <w:pPr>
                    <w:spacing w:line="240" w:lineRule="exact"/>
                    <w:jc w:val="center"/>
                    <w:rPr>
                      <w:sz w:val="24"/>
                      <w:szCs w:val="24"/>
                    </w:rPr>
                  </w:pPr>
                  <w:r>
                    <w:rPr>
                      <w:rFonts w:hint="eastAsia"/>
                      <w:sz w:val="24"/>
                      <w:szCs w:val="24"/>
                    </w:rPr>
                    <w:t>环评预估</w:t>
                  </w:r>
                </w:p>
              </w:tc>
              <w:tc>
                <w:tcPr>
                  <w:tcW w:w="2022" w:type="pct"/>
                  <w:gridSpan w:val="2"/>
                  <w:tcBorders>
                    <w:bottom w:val="single" w:color="auto" w:sz="4" w:space="0"/>
                  </w:tcBorders>
                  <w:vAlign w:val="center"/>
                </w:tcPr>
                <w:p>
                  <w:pPr>
                    <w:spacing w:line="240" w:lineRule="exact"/>
                    <w:jc w:val="center"/>
                    <w:rPr>
                      <w:sz w:val="24"/>
                      <w:szCs w:val="24"/>
                    </w:rPr>
                  </w:pPr>
                  <w:r>
                    <w:rPr>
                      <w:rFonts w:hint="eastAsia"/>
                      <w:sz w:val="24"/>
                      <w:szCs w:val="24"/>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43" w:type="pct"/>
                  <w:vMerge w:val="continue"/>
                  <w:vAlign w:val="center"/>
                </w:tcPr>
                <w:p>
                  <w:pPr>
                    <w:spacing w:line="240" w:lineRule="exact"/>
                    <w:jc w:val="center"/>
                    <w:rPr>
                      <w:sz w:val="24"/>
                      <w:szCs w:val="24"/>
                    </w:rPr>
                  </w:pPr>
                </w:p>
              </w:tc>
              <w:tc>
                <w:tcPr>
                  <w:tcW w:w="1248" w:type="pct"/>
                  <w:vAlign w:val="center"/>
                </w:tcPr>
                <w:p>
                  <w:pPr>
                    <w:spacing w:line="240" w:lineRule="exact"/>
                    <w:jc w:val="center"/>
                    <w:rPr>
                      <w:sz w:val="24"/>
                      <w:szCs w:val="24"/>
                    </w:rPr>
                  </w:pPr>
                  <w:r>
                    <w:rPr>
                      <w:rFonts w:hint="eastAsia"/>
                      <w:sz w:val="24"/>
                      <w:szCs w:val="24"/>
                    </w:rPr>
                    <w:t>类别</w:t>
                  </w:r>
                </w:p>
              </w:tc>
              <w:tc>
                <w:tcPr>
                  <w:tcW w:w="886" w:type="pct"/>
                  <w:vAlign w:val="center"/>
                </w:tcPr>
                <w:p>
                  <w:pPr>
                    <w:spacing w:line="240" w:lineRule="exact"/>
                    <w:jc w:val="center"/>
                    <w:rPr>
                      <w:sz w:val="24"/>
                      <w:szCs w:val="24"/>
                    </w:rPr>
                  </w:pPr>
                  <w:r>
                    <w:rPr>
                      <w:rFonts w:hint="eastAsia"/>
                      <w:sz w:val="24"/>
                      <w:szCs w:val="24"/>
                    </w:rPr>
                    <w:t>投资（万元）</w:t>
                  </w:r>
                </w:p>
              </w:tc>
              <w:tc>
                <w:tcPr>
                  <w:tcW w:w="1219" w:type="pct"/>
                  <w:tcBorders>
                    <w:bottom w:val="single" w:color="auto" w:sz="4" w:space="0"/>
                  </w:tcBorders>
                  <w:vAlign w:val="center"/>
                </w:tcPr>
                <w:p>
                  <w:pPr>
                    <w:spacing w:line="240" w:lineRule="exact"/>
                    <w:jc w:val="center"/>
                    <w:rPr>
                      <w:sz w:val="24"/>
                      <w:szCs w:val="24"/>
                    </w:rPr>
                  </w:pPr>
                  <w:r>
                    <w:rPr>
                      <w:rFonts w:hint="eastAsia"/>
                      <w:sz w:val="24"/>
                      <w:szCs w:val="24"/>
                    </w:rPr>
                    <w:t>类别</w:t>
                  </w:r>
                </w:p>
              </w:tc>
              <w:tc>
                <w:tcPr>
                  <w:tcW w:w="803" w:type="pct"/>
                  <w:tcBorders>
                    <w:bottom w:val="single" w:color="auto" w:sz="4" w:space="0"/>
                  </w:tcBorders>
                  <w:vAlign w:val="center"/>
                </w:tcPr>
                <w:p>
                  <w:pPr>
                    <w:spacing w:line="240" w:lineRule="exact"/>
                    <w:jc w:val="center"/>
                    <w:rPr>
                      <w:sz w:val="24"/>
                      <w:szCs w:val="24"/>
                    </w:rPr>
                  </w:pPr>
                  <w:r>
                    <w:rPr>
                      <w:rFonts w:hint="eastAsia"/>
                      <w:sz w:val="24"/>
                      <w:szCs w:val="24"/>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43" w:type="pct"/>
                  <w:vAlign w:val="center"/>
                </w:tcPr>
                <w:p>
                  <w:pPr>
                    <w:jc w:val="center"/>
                    <w:rPr>
                      <w:sz w:val="24"/>
                      <w:szCs w:val="24"/>
                    </w:rPr>
                  </w:pPr>
                  <w:r>
                    <w:rPr>
                      <w:rFonts w:hint="eastAsia"/>
                      <w:sz w:val="24"/>
                      <w:szCs w:val="24"/>
                    </w:rPr>
                    <w:t>施工期临时污水处理设施、水桶保持、洒水降尘</w:t>
                  </w:r>
                </w:p>
              </w:tc>
              <w:tc>
                <w:tcPr>
                  <w:tcW w:w="1248" w:type="pct"/>
                  <w:vAlign w:val="center"/>
                </w:tcPr>
                <w:p>
                  <w:pPr>
                    <w:jc w:val="center"/>
                    <w:rPr>
                      <w:sz w:val="24"/>
                      <w:szCs w:val="24"/>
                    </w:rPr>
                  </w:pPr>
                  <w:r>
                    <w:rPr>
                      <w:rFonts w:hint="eastAsia"/>
                      <w:sz w:val="24"/>
                      <w:szCs w:val="24"/>
                    </w:rPr>
                    <w:t>/</w:t>
                  </w:r>
                </w:p>
              </w:tc>
              <w:tc>
                <w:tcPr>
                  <w:tcW w:w="886" w:type="pct"/>
                  <w:vAlign w:val="center"/>
                </w:tcPr>
                <w:p>
                  <w:pPr>
                    <w:ind w:left="-105" w:leftChars="-50" w:right="-105" w:rightChars="-50"/>
                    <w:jc w:val="center"/>
                    <w:rPr>
                      <w:rFonts w:hint="default" w:eastAsia="宋体"/>
                      <w:sz w:val="24"/>
                      <w:szCs w:val="24"/>
                      <w:lang w:val="en-US" w:eastAsia="zh-CN"/>
                    </w:rPr>
                  </w:pPr>
                  <w:r>
                    <w:rPr>
                      <w:rFonts w:hint="eastAsia"/>
                      <w:sz w:val="24"/>
                      <w:szCs w:val="24"/>
                      <w:lang w:val="en-US" w:eastAsia="zh-CN"/>
                    </w:rPr>
                    <w:t>70</w:t>
                  </w:r>
                </w:p>
              </w:tc>
              <w:tc>
                <w:tcPr>
                  <w:tcW w:w="1219" w:type="pct"/>
                  <w:vAlign w:val="center"/>
                </w:tcPr>
                <w:p>
                  <w:pPr>
                    <w:jc w:val="center"/>
                    <w:rPr>
                      <w:sz w:val="24"/>
                      <w:szCs w:val="24"/>
                    </w:rPr>
                  </w:pPr>
                  <w:r>
                    <w:rPr>
                      <w:rFonts w:hint="eastAsia"/>
                      <w:sz w:val="24"/>
                      <w:szCs w:val="24"/>
                    </w:rPr>
                    <w:t>/</w:t>
                  </w:r>
                </w:p>
              </w:tc>
              <w:tc>
                <w:tcPr>
                  <w:tcW w:w="1546" w:type="dxa"/>
                  <w:vAlign w:val="center"/>
                </w:tcPr>
                <w:p>
                  <w:pPr>
                    <w:ind w:left="-105" w:leftChars="-50" w:right="-105" w:rightChars="-50"/>
                    <w:jc w:val="center"/>
                    <w:rPr>
                      <w:rFonts w:hint="default" w:eastAsia="宋体"/>
                      <w:sz w:val="24"/>
                      <w:szCs w:val="24"/>
                      <w:lang w:val="en-US" w:eastAsia="zh-CN"/>
                    </w:rPr>
                  </w:pPr>
                  <w:r>
                    <w:rPr>
                      <w:rFonts w:hint="eastAsia"/>
                      <w:sz w:val="24"/>
                      <w:szCs w:val="24"/>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rFonts w:hint="eastAsia"/>
                      <w:sz w:val="24"/>
                      <w:szCs w:val="24"/>
                      <w:lang w:val="en-US" w:eastAsia="zh-CN"/>
                    </w:rPr>
                  </w:pPr>
                  <w:r>
                    <w:rPr>
                      <w:rFonts w:hint="eastAsia"/>
                      <w:sz w:val="24"/>
                      <w:szCs w:val="24"/>
                      <w:lang w:val="en-US" w:eastAsia="zh-CN"/>
                    </w:rPr>
                    <w:t>化粪池</w:t>
                  </w:r>
                </w:p>
              </w:tc>
              <w:tc>
                <w:tcPr>
                  <w:tcW w:w="1248" w:type="pct"/>
                  <w:vAlign w:val="center"/>
                </w:tcPr>
                <w:p>
                  <w:pPr>
                    <w:widowControl/>
                    <w:spacing w:line="256" w:lineRule="exact"/>
                    <w:jc w:val="center"/>
                    <w:rPr>
                      <w:rFonts w:hint="default" w:eastAsia="宋体"/>
                      <w:sz w:val="24"/>
                      <w:szCs w:val="24"/>
                      <w:lang w:val="en-US" w:eastAsia="zh-CN"/>
                    </w:rPr>
                  </w:pPr>
                  <w:r>
                    <w:rPr>
                      <w:rFonts w:hint="eastAsia"/>
                      <w:sz w:val="24"/>
                      <w:szCs w:val="24"/>
                      <w:lang w:val="en-US" w:eastAsia="zh-CN"/>
                    </w:rPr>
                    <w:t>生活用水</w:t>
                  </w:r>
                </w:p>
              </w:tc>
              <w:tc>
                <w:tcPr>
                  <w:tcW w:w="886" w:type="pct"/>
                  <w:vAlign w:val="center"/>
                </w:tcPr>
                <w:p>
                  <w:pPr>
                    <w:adjustRightInd w:val="0"/>
                    <w:snapToGrid w:val="0"/>
                    <w:spacing w:line="256" w:lineRule="exact"/>
                    <w:jc w:val="center"/>
                    <w:rPr>
                      <w:rFonts w:hint="eastAsia" w:eastAsia="宋体"/>
                      <w:sz w:val="24"/>
                      <w:szCs w:val="24"/>
                      <w:lang w:val="en-US" w:eastAsia="zh-CN"/>
                    </w:rPr>
                  </w:pPr>
                  <w:r>
                    <w:rPr>
                      <w:rFonts w:hint="eastAsia"/>
                      <w:sz w:val="24"/>
                      <w:szCs w:val="24"/>
                      <w:lang w:val="en-US" w:eastAsia="zh-CN"/>
                    </w:rPr>
                    <w:t>5</w:t>
                  </w:r>
                </w:p>
              </w:tc>
              <w:tc>
                <w:tcPr>
                  <w:tcW w:w="1219" w:type="pct"/>
                  <w:vAlign w:val="center"/>
                </w:tcPr>
                <w:p>
                  <w:pPr>
                    <w:widowControl/>
                    <w:spacing w:line="256" w:lineRule="exact"/>
                    <w:jc w:val="center"/>
                    <w:rPr>
                      <w:rFonts w:hint="eastAsia" w:eastAsia="宋体"/>
                      <w:sz w:val="24"/>
                      <w:szCs w:val="24"/>
                      <w:lang w:val="en-US" w:eastAsia="zh-CN"/>
                    </w:rPr>
                  </w:pPr>
                  <w:r>
                    <w:rPr>
                      <w:rFonts w:hint="eastAsia"/>
                      <w:sz w:val="24"/>
                      <w:szCs w:val="24"/>
                      <w:lang w:val="en-US" w:eastAsia="zh-CN"/>
                    </w:rPr>
                    <w:t>/</w:t>
                  </w:r>
                </w:p>
              </w:tc>
              <w:tc>
                <w:tcPr>
                  <w:tcW w:w="1546" w:type="dxa"/>
                  <w:vAlign w:val="center"/>
                </w:tcPr>
                <w:p>
                  <w:pPr>
                    <w:adjustRightInd w:val="0"/>
                    <w:snapToGrid w:val="0"/>
                    <w:spacing w:line="256" w:lineRule="exact"/>
                    <w:jc w:val="center"/>
                    <w:rPr>
                      <w:rFonts w:hint="eastAsia" w:eastAsia="宋体"/>
                      <w:sz w:val="24"/>
                      <w:szCs w:val="24"/>
                      <w:lang w:val="en-US" w:eastAsia="zh-CN"/>
                    </w:rPr>
                  </w:pPr>
                  <w:r>
                    <w:rPr>
                      <w:rFonts w:hint="eastAsia"/>
                      <w:sz w:val="24"/>
                      <w:szCs w:val="24"/>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rFonts w:hint="default"/>
                      <w:sz w:val="24"/>
                      <w:szCs w:val="24"/>
                      <w:lang w:val="en-US" w:eastAsia="zh-CN"/>
                    </w:rPr>
                  </w:pPr>
                  <w:r>
                    <w:rPr>
                      <w:rFonts w:hint="eastAsia"/>
                      <w:sz w:val="24"/>
                      <w:szCs w:val="24"/>
                      <w:lang w:val="en-US" w:eastAsia="zh-CN"/>
                    </w:rPr>
                    <w:t>固废</w:t>
                  </w:r>
                </w:p>
              </w:tc>
              <w:tc>
                <w:tcPr>
                  <w:tcW w:w="1248" w:type="pct"/>
                  <w:vAlign w:val="center"/>
                </w:tcPr>
                <w:p>
                  <w:pPr>
                    <w:widowControl/>
                    <w:spacing w:line="256" w:lineRule="exact"/>
                    <w:jc w:val="center"/>
                    <w:rPr>
                      <w:rFonts w:hint="default" w:eastAsia="宋体"/>
                      <w:sz w:val="24"/>
                      <w:szCs w:val="24"/>
                      <w:lang w:val="en-US" w:eastAsia="zh-CN"/>
                    </w:rPr>
                  </w:pPr>
                  <w:r>
                    <w:rPr>
                      <w:rFonts w:hint="eastAsia"/>
                      <w:sz w:val="24"/>
                      <w:szCs w:val="24"/>
                      <w:lang w:val="en-US" w:eastAsia="zh-CN"/>
                    </w:rPr>
                    <w:t>一般固废存放间、危废间、废液压油以及防渗</w:t>
                  </w:r>
                </w:p>
              </w:tc>
              <w:tc>
                <w:tcPr>
                  <w:tcW w:w="886" w:type="pct"/>
                  <w:vAlign w:val="center"/>
                </w:tcPr>
                <w:p>
                  <w:pPr>
                    <w:adjustRightInd w:val="0"/>
                    <w:snapToGrid w:val="0"/>
                    <w:spacing w:line="256" w:lineRule="exact"/>
                    <w:jc w:val="center"/>
                    <w:rPr>
                      <w:rFonts w:hint="default" w:eastAsia="宋体"/>
                      <w:sz w:val="24"/>
                      <w:szCs w:val="24"/>
                      <w:lang w:val="en-US" w:eastAsia="zh-CN"/>
                    </w:rPr>
                  </w:pPr>
                  <w:r>
                    <w:rPr>
                      <w:rFonts w:hint="eastAsia"/>
                      <w:sz w:val="24"/>
                      <w:szCs w:val="24"/>
                      <w:lang w:val="en-US" w:eastAsia="zh-CN"/>
                    </w:rPr>
                    <w:t>15</w:t>
                  </w:r>
                </w:p>
              </w:tc>
              <w:tc>
                <w:tcPr>
                  <w:tcW w:w="1219" w:type="pct"/>
                  <w:vAlign w:val="center"/>
                </w:tcPr>
                <w:p>
                  <w:pPr>
                    <w:widowControl/>
                    <w:spacing w:line="256" w:lineRule="exact"/>
                    <w:jc w:val="center"/>
                    <w:rPr>
                      <w:rFonts w:hint="eastAsia"/>
                      <w:sz w:val="24"/>
                      <w:szCs w:val="24"/>
                    </w:rPr>
                  </w:pPr>
                </w:p>
              </w:tc>
              <w:tc>
                <w:tcPr>
                  <w:tcW w:w="1546" w:type="dxa"/>
                  <w:vAlign w:val="center"/>
                </w:tcPr>
                <w:p>
                  <w:pPr>
                    <w:adjustRightInd w:val="0"/>
                    <w:snapToGrid w:val="0"/>
                    <w:spacing w:line="256" w:lineRule="exact"/>
                    <w:jc w:val="center"/>
                    <w:rPr>
                      <w:rFonts w:hint="eastAsia"/>
                      <w:sz w:val="24"/>
                      <w:szCs w:val="24"/>
                    </w:rPr>
                  </w:pPr>
                  <w:r>
                    <w:rPr>
                      <w:rFonts w:hint="eastAsia"/>
                      <w:sz w:val="24"/>
                      <w:szCs w:val="24"/>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rFonts w:hint="default" w:eastAsia="宋体"/>
                      <w:sz w:val="24"/>
                      <w:szCs w:val="24"/>
                      <w:lang w:val="en-US" w:eastAsia="zh-CN"/>
                    </w:rPr>
                  </w:pPr>
                  <w:r>
                    <w:rPr>
                      <w:rFonts w:hint="eastAsia"/>
                      <w:sz w:val="24"/>
                      <w:szCs w:val="24"/>
                      <w:lang w:val="en-US" w:eastAsia="zh-CN"/>
                    </w:rPr>
                    <w:t>噪声防治</w:t>
                  </w:r>
                </w:p>
              </w:tc>
              <w:tc>
                <w:tcPr>
                  <w:tcW w:w="1248" w:type="pct"/>
                  <w:vAlign w:val="center"/>
                </w:tcPr>
                <w:p>
                  <w:pPr>
                    <w:widowControl/>
                    <w:spacing w:line="256" w:lineRule="exact"/>
                    <w:jc w:val="center"/>
                    <w:rPr>
                      <w:sz w:val="24"/>
                      <w:szCs w:val="24"/>
                    </w:rPr>
                  </w:pPr>
                  <w:r>
                    <w:rPr>
                      <w:rFonts w:hint="eastAsia"/>
                      <w:sz w:val="24"/>
                      <w:szCs w:val="24"/>
                    </w:rPr>
                    <w:t>按照工业设备安装的有关规范安装，合理布局，</w:t>
                  </w:r>
                  <w:r>
                    <w:rPr>
                      <w:sz w:val="24"/>
                      <w:szCs w:val="24"/>
                    </w:rPr>
                    <w:t>隔声减振</w:t>
                  </w:r>
                  <w:r>
                    <w:rPr>
                      <w:rFonts w:hint="eastAsia"/>
                      <w:sz w:val="24"/>
                      <w:szCs w:val="24"/>
                    </w:rPr>
                    <w:t>，</w:t>
                  </w:r>
                  <w:r>
                    <w:rPr>
                      <w:sz w:val="24"/>
                      <w:szCs w:val="24"/>
                    </w:rPr>
                    <w:t>距离衰减</w:t>
                  </w:r>
                </w:p>
              </w:tc>
              <w:tc>
                <w:tcPr>
                  <w:tcW w:w="886" w:type="pct"/>
                  <w:vAlign w:val="center"/>
                </w:tcPr>
                <w:p>
                  <w:pPr>
                    <w:adjustRightInd w:val="0"/>
                    <w:snapToGrid w:val="0"/>
                    <w:spacing w:line="256" w:lineRule="exact"/>
                    <w:jc w:val="center"/>
                    <w:rPr>
                      <w:rFonts w:hint="eastAsia" w:eastAsia="宋体"/>
                      <w:sz w:val="24"/>
                      <w:szCs w:val="24"/>
                      <w:lang w:eastAsia="zh-CN"/>
                    </w:rPr>
                  </w:pPr>
                  <w:r>
                    <w:rPr>
                      <w:rFonts w:hint="eastAsia"/>
                      <w:sz w:val="24"/>
                      <w:szCs w:val="24"/>
                      <w:lang w:val="en-US" w:eastAsia="zh-CN"/>
                    </w:rPr>
                    <w:t>2</w:t>
                  </w:r>
                </w:p>
              </w:tc>
              <w:tc>
                <w:tcPr>
                  <w:tcW w:w="1219" w:type="pct"/>
                  <w:vAlign w:val="center"/>
                </w:tcPr>
                <w:p>
                  <w:pPr>
                    <w:widowControl/>
                    <w:spacing w:line="256" w:lineRule="exact"/>
                    <w:jc w:val="center"/>
                    <w:rPr>
                      <w:sz w:val="24"/>
                      <w:szCs w:val="24"/>
                    </w:rPr>
                  </w:pPr>
                  <w:r>
                    <w:rPr>
                      <w:rFonts w:hint="eastAsia"/>
                      <w:sz w:val="24"/>
                      <w:szCs w:val="24"/>
                    </w:rPr>
                    <w:t>按照工业设备安装的有关规范安装，合理布局，</w:t>
                  </w:r>
                  <w:r>
                    <w:rPr>
                      <w:sz w:val="24"/>
                      <w:szCs w:val="24"/>
                    </w:rPr>
                    <w:t>隔声减振</w:t>
                  </w:r>
                  <w:r>
                    <w:rPr>
                      <w:rFonts w:hint="eastAsia"/>
                      <w:sz w:val="24"/>
                      <w:szCs w:val="24"/>
                    </w:rPr>
                    <w:t>，</w:t>
                  </w:r>
                  <w:r>
                    <w:rPr>
                      <w:sz w:val="24"/>
                      <w:szCs w:val="24"/>
                    </w:rPr>
                    <w:t>距离衰减</w:t>
                  </w:r>
                </w:p>
              </w:tc>
              <w:tc>
                <w:tcPr>
                  <w:tcW w:w="1546" w:type="dxa"/>
                  <w:vAlign w:val="center"/>
                </w:tcPr>
                <w:p>
                  <w:pPr>
                    <w:adjustRightInd w:val="0"/>
                    <w:snapToGrid w:val="0"/>
                    <w:spacing w:line="256" w:lineRule="exact"/>
                    <w:jc w:val="center"/>
                    <w:rPr>
                      <w:sz w:val="24"/>
                      <w:szCs w:val="24"/>
                    </w:rPr>
                  </w:pPr>
                  <w:r>
                    <w:rPr>
                      <w:rFonts w:hint="eastAsia"/>
                      <w:sz w:val="24"/>
                      <w:szCs w:val="24"/>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sz w:val="24"/>
                      <w:szCs w:val="24"/>
                    </w:rPr>
                  </w:pPr>
                  <w:r>
                    <w:rPr>
                      <w:rFonts w:hint="eastAsia"/>
                      <w:sz w:val="24"/>
                      <w:szCs w:val="24"/>
                    </w:rPr>
                    <w:t>生态恢复</w:t>
                  </w:r>
                </w:p>
              </w:tc>
              <w:tc>
                <w:tcPr>
                  <w:tcW w:w="1248" w:type="pct"/>
                  <w:vAlign w:val="center"/>
                </w:tcPr>
                <w:p>
                  <w:pPr>
                    <w:widowControl/>
                    <w:spacing w:line="256" w:lineRule="exact"/>
                    <w:jc w:val="center"/>
                    <w:rPr>
                      <w:sz w:val="24"/>
                      <w:szCs w:val="24"/>
                    </w:rPr>
                  </w:pPr>
                  <w:r>
                    <w:rPr>
                      <w:rFonts w:hint="eastAsia"/>
                      <w:sz w:val="24"/>
                      <w:szCs w:val="24"/>
                    </w:rPr>
                    <w:t>周边绿化生态恢复</w:t>
                  </w:r>
                </w:p>
              </w:tc>
              <w:tc>
                <w:tcPr>
                  <w:tcW w:w="886" w:type="pct"/>
                  <w:vAlign w:val="center"/>
                </w:tcPr>
                <w:p>
                  <w:pPr>
                    <w:adjustRightInd w:val="0"/>
                    <w:snapToGrid w:val="0"/>
                    <w:spacing w:line="256" w:lineRule="exact"/>
                    <w:jc w:val="center"/>
                    <w:rPr>
                      <w:rFonts w:hint="default" w:eastAsia="宋体"/>
                      <w:sz w:val="24"/>
                      <w:szCs w:val="24"/>
                      <w:lang w:val="en-US" w:eastAsia="zh-CN"/>
                    </w:rPr>
                  </w:pPr>
                  <w:r>
                    <w:rPr>
                      <w:rFonts w:hint="eastAsia"/>
                      <w:sz w:val="24"/>
                      <w:szCs w:val="24"/>
                      <w:lang w:val="en-US" w:eastAsia="zh-CN"/>
                    </w:rPr>
                    <w:t>300</w:t>
                  </w:r>
                </w:p>
              </w:tc>
              <w:tc>
                <w:tcPr>
                  <w:tcW w:w="1219" w:type="pct"/>
                  <w:vAlign w:val="center"/>
                </w:tcPr>
                <w:p>
                  <w:pPr>
                    <w:widowControl/>
                    <w:spacing w:line="256" w:lineRule="exact"/>
                    <w:jc w:val="center"/>
                    <w:rPr>
                      <w:sz w:val="24"/>
                      <w:szCs w:val="24"/>
                    </w:rPr>
                  </w:pPr>
                  <w:r>
                    <w:rPr>
                      <w:rFonts w:hint="eastAsia"/>
                      <w:sz w:val="24"/>
                      <w:szCs w:val="24"/>
                    </w:rPr>
                    <w:t>周边绿化生态恢复</w:t>
                  </w:r>
                </w:p>
              </w:tc>
              <w:tc>
                <w:tcPr>
                  <w:tcW w:w="1546" w:type="dxa"/>
                  <w:vAlign w:val="center"/>
                </w:tcPr>
                <w:p>
                  <w:pPr>
                    <w:adjustRightInd w:val="0"/>
                    <w:snapToGrid w:val="0"/>
                    <w:spacing w:line="256" w:lineRule="exact"/>
                    <w:jc w:val="center"/>
                    <w:rPr>
                      <w:sz w:val="24"/>
                      <w:szCs w:val="24"/>
                    </w:rPr>
                  </w:pPr>
                  <w:r>
                    <w:rPr>
                      <w:rFonts w:hint="eastAsia"/>
                      <w:sz w:val="24"/>
                      <w:szCs w:val="24"/>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3" w:type="pct"/>
                  <w:vAlign w:val="center"/>
                </w:tcPr>
                <w:p>
                  <w:pPr>
                    <w:spacing w:line="300" w:lineRule="exact"/>
                    <w:jc w:val="center"/>
                    <w:rPr>
                      <w:rFonts w:hint="default" w:eastAsia="宋体"/>
                      <w:sz w:val="24"/>
                      <w:szCs w:val="24"/>
                      <w:lang w:val="en-US" w:eastAsia="zh-CN"/>
                    </w:rPr>
                  </w:pPr>
                  <w:r>
                    <w:rPr>
                      <w:rFonts w:hint="eastAsia"/>
                      <w:sz w:val="24"/>
                      <w:szCs w:val="24"/>
                      <w:lang w:val="en-US" w:eastAsia="zh-CN"/>
                    </w:rPr>
                    <w:t>废气</w:t>
                  </w:r>
                </w:p>
              </w:tc>
              <w:tc>
                <w:tcPr>
                  <w:tcW w:w="1248" w:type="pct"/>
                  <w:vAlign w:val="center"/>
                </w:tcPr>
                <w:p>
                  <w:pPr>
                    <w:widowControl/>
                    <w:spacing w:line="256" w:lineRule="exact"/>
                    <w:jc w:val="center"/>
                    <w:rPr>
                      <w:rFonts w:hint="eastAsia" w:eastAsia="宋体"/>
                      <w:sz w:val="24"/>
                      <w:szCs w:val="24"/>
                      <w:lang w:val="en-US" w:eastAsia="zh-CN"/>
                    </w:rPr>
                  </w:pPr>
                  <w:r>
                    <w:rPr>
                      <w:rFonts w:hint="eastAsia"/>
                      <w:sz w:val="24"/>
                      <w:szCs w:val="24"/>
                      <w:lang w:val="en-US" w:eastAsia="zh-CN"/>
                    </w:rPr>
                    <w:t>油烟净化器</w:t>
                  </w:r>
                </w:p>
              </w:tc>
              <w:tc>
                <w:tcPr>
                  <w:tcW w:w="886" w:type="pct"/>
                  <w:vAlign w:val="center"/>
                </w:tcPr>
                <w:p>
                  <w:pPr>
                    <w:adjustRightInd w:val="0"/>
                    <w:snapToGrid w:val="0"/>
                    <w:spacing w:line="256" w:lineRule="exact"/>
                    <w:jc w:val="center"/>
                    <w:rPr>
                      <w:rFonts w:hint="eastAsia" w:eastAsia="宋体"/>
                      <w:sz w:val="24"/>
                      <w:szCs w:val="24"/>
                      <w:lang w:val="en-US" w:eastAsia="zh-CN"/>
                    </w:rPr>
                  </w:pPr>
                  <w:r>
                    <w:rPr>
                      <w:rFonts w:hint="eastAsia"/>
                      <w:sz w:val="24"/>
                      <w:szCs w:val="24"/>
                      <w:lang w:val="en-US" w:eastAsia="zh-CN"/>
                    </w:rPr>
                    <w:t>3</w:t>
                  </w:r>
                </w:p>
              </w:tc>
              <w:tc>
                <w:tcPr>
                  <w:tcW w:w="1219" w:type="pct"/>
                  <w:vAlign w:val="center"/>
                </w:tcPr>
                <w:p>
                  <w:pPr>
                    <w:widowControl/>
                    <w:spacing w:line="256" w:lineRule="exact"/>
                    <w:jc w:val="center"/>
                    <w:rPr>
                      <w:rFonts w:hint="eastAsia"/>
                      <w:sz w:val="24"/>
                      <w:szCs w:val="24"/>
                    </w:rPr>
                  </w:pPr>
                </w:p>
              </w:tc>
              <w:tc>
                <w:tcPr>
                  <w:tcW w:w="1546" w:type="dxa"/>
                  <w:vAlign w:val="center"/>
                </w:tcPr>
                <w:p>
                  <w:pPr>
                    <w:adjustRightInd w:val="0"/>
                    <w:snapToGrid w:val="0"/>
                    <w:spacing w:line="256" w:lineRule="exact"/>
                    <w:jc w:val="center"/>
                    <w:rPr>
                      <w:rFonts w:hint="eastAsia"/>
                      <w:sz w:val="24"/>
                      <w:szCs w:val="24"/>
                    </w:rPr>
                  </w:pPr>
                  <w:r>
                    <w:rPr>
                      <w:rFonts w:hint="eastAsia"/>
                      <w:sz w:val="24"/>
                      <w:szCs w:val="24"/>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 w:val="24"/>
                      <w:szCs w:val="24"/>
                    </w:rPr>
                  </w:pPr>
                  <w:r>
                    <w:rPr>
                      <w:rFonts w:hint="eastAsia"/>
                      <w:sz w:val="24"/>
                      <w:szCs w:val="24"/>
                    </w:rPr>
                    <w:t>其他</w:t>
                  </w:r>
                </w:p>
              </w:tc>
              <w:tc>
                <w:tcPr>
                  <w:tcW w:w="1248" w:type="pct"/>
                  <w:vAlign w:val="center"/>
                </w:tcPr>
                <w:p>
                  <w:pPr>
                    <w:spacing w:line="316" w:lineRule="exact"/>
                    <w:jc w:val="center"/>
                    <w:rPr>
                      <w:sz w:val="24"/>
                      <w:szCs w:val="24"/>
                    </w:rPr>
                  </w:pPr>
                  <w:r>
                    <w:rPr>
                      <w:rFonts w:hint="eastAsia"/>
                      <w:sz w:val="24"/>
                      <w:szCs w:val="24"/>
                    </w:rPr>
                    <w:t>/</w:t>
                  </w:r>
                </w:p>
              </w:tc>
              <w:tc>
                <w:tcPr>
                  <w:tcW w:w="886" w:type="pct"/>
                  <w:vAlign w:val="center"/>
                </w:tcPr>
                <w:p>
                  <w:pPr>
                    <w:widowControl/>
                    <w:jc w:val="center"/>
                    <w:rPr>
                      <w:rFonts w:hint="eastAsia" w:eastAsia="宋体"/>
                      <w:sz w:val="24"/>
                      <w:szCs w:val="24"/>
                      <w:lang w:eastAsia="zh-CN"/>
                    </w:rPr>
                  </w:pPr>
                  <w:r>
                    <w:rPr>
                      <w:rFonts w:hint="eastAsia"/>
                      <w:sz w:val="24"/>
                      <w:szCs w:val="24"/>
                      <w:lang w:val="en-US" w:eastAsia="zh-CN"/>
                    </w:rPr>
                    <w:t>5</w:t>
                  </w:r>
                </w:p>
              </w:tc>
              <w:tc>
                <w:tcPr>
                  <w:tcW w:w="1219" w:type="pct"/>
                  <w:vAlign w:val="center"/>
                </w:tcPr>
                <w:p>
                  <w:pPr>
                    <w:spacing w:line="316" w:lineRule="exact"/>
                    <w:jc w:val="center"/>
                    <w:rPr>
                      <w:sz w:val="24"/>
                      <w:szCs w:val="24"/>
                    </w:rPr>
                  </w:pPr>
                  <w:r>
                    <w:rPr>
                      <w:rFonts w:hint="eastAsia"/>
                      <w:sz w:val="24"/>
                      <w:szCs w:val="24"/>
                    </w:rPr>
                    <w:t>/</w:t>
                  </w:r>
                </w:p>
              </w:tc>
              <w:tc>
                <w:tcPr>
                  <w:tcW w:w="1546" w:type="dxa"/>
                  <w:vAlign w:val="center"/>
                </w:tcPr>
                <w:p>
                  <w:pPr>
                    <w:widowControl/>
                    <w:jc w:val="center"/>
                    <w:rPr>
                      <w:sz w:val="24"/>
                      <w:szCs w:val="24"/>
                    </w:rPr>
                  </w:pPr>
                  <w:r>
                    <w:rPr>
                      <w:rFonts w:hint="eastAsia"/>
                      <w:sz w:val="24"/>
                      <w:szCs w:val="24"/>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3" w:type="pct"/>
                  <w:vAlign w:val="center"/>
                </w:tcPr>
                <w:p>
                  <w:pPr>
                    <w:jc w:val="center"/>
                    <w:rPr>
                      <w:sz w:val="24"/>
                      <w:szCs w:val="24"/>
                    </w:rPr>
                  </w:pPr>
                  <w:r>
                    <w:rPr>
                      <w:rFonts w:hint="eastAsia"/>
                      <w:sz w:val="24"/>
                      <w:szCs w:val="24"/>
                    </w:rPr>
                    <w:t>合计</w:t>
                  </w:r>
                </w:p>
              </w:tc>
              <w:tc>
                <w:tcPr>
                  <w:tcW w:w="1248" w:type="pct"/>
                  <w:vAlign w:val="center"/>
                </w:tcPr>
                <w:p>
                  <w:pPr>
                    <w:spacing w:line="316" w:lineRule="exact"/>
                    <w:jc w:val="center"/>
                    <w:rPr>
                      <w:sz w:val="24"/>
                      <w:szCs w:val="24"/>
                    </w:rPr>
                  </w:pPr>
                  <w:r>
                    <w:rPr>
                      <w:rFonts w:hint="eastAsia"/>
                      <w:sz w:val="24"/>
                      <w:szCs w:val="24"/>
                    </w:rPr>
                    <w:t>/</w:t>
                  </w:r>
                </w:p>
              </w:tc>
              <w:tc>
                <w:tcPr>
                  <w:tcW w:w="886" w:type="pct"/>
                  <w:vAlign w:val="center"/>
                </w:tcPr>
                <w:p>
                  <w:pPr>
                    <w:widowControl/>
                    <w:jc w:val="center"/>
                    <w:rPr>
                      <w:rFonts w:hint="default" w:eastAsia="宋体"/>
                      <w:sz w:val="24"/>
                      <w:szCs w:val="24"/>
                      <w:lang w:val="en-US" w:eastAsia="zh-CN"/>
                    </w:rPr>
                  </w:pPr>
                  <w:r>
                    <w:rPr>
                      <w:rFonts w:hint="eastAsia"/>
                      <w:sz w:val="24"/>
                      <w:szCs w:val="24"/>
                      <w:lang w:val="en-US" w:eastAsia="zh-CN"/>
                    </w:rPr>
                    <w:t>400</w:t>
                  </w:r>
                </w:p>
              </w:tc>
              <w:tc>
                <w:tcPr>
                  <w:tcW w:w="1219" w:type="pct"/>
                  <w:vAlign w:val="center"/>
                </w:tcPr>
                <w:p>
                  <w:pPr>
                    <w:spacing w:line="316" w:lineRule="exact"/>
                    <w:jc w:val="center"/>
                    <w:rPr>
                      <w:sz w:val="24"/>
                      <w:szCs w:val="24"/>
                    </w:rPr>
                  </w:pPr>
                  <w:r>
                    <w:rPr>
                      <w:rFonts w:hint="eastAsia"/>
                      <w:sz w:val="24"/>
                      <w:szCs w:val="24"/>
                    </w:rPr>
                    <w:t>/</w:t>
                  </w:r>
                </w:p>
              </w:tc>
              <w:tc>
                <w:tcPr>
                  <w:tcW w:w="803" w:type="pct"/>
                  <w:vAlign w:val="center"/>
                </w:tcPr>
                <w:p>
                  <w:pPr>
                    <w:widowControl/>
                    <w:jc w:val="center"/>
                    <w:rPr>
                      <w:rFonts w:hint="default" w:eastAsia="宋体"/>
                      <w:sz w:val="24"/>
                      <w:szCs w:val="24"/>
                      <w:lang w:val="en-US" w:eastAsia="zh-CN"/>
                    </w:rPr>
                  </w:pPr>
                  <w:r>
                    <w:rPr>
                      <w:rFonts w:hint="eastAsia"/>
                      <w:sz w:val="24"/>
                      <w:szCs w:val="24"/>
                      <w:lang w:val="en-US" w:eastAsia="zh-CN"/>
                    </w:rPr>
                    <w:t>400</w:t>
                  </w:r>
                </w:p>
              </w:tc>
            </w:tr>
          </w:tbl>
          <w:p>
            <w:pPr>
              <w:spacing w:line="360" w:lineRule="auto"/>
              <w:ind w:firstLine="480" w:firstLineChars="200"/>
              <w:jc w:val="left"/>
              <w:rPr>
                <w:sz w:val="24"/>
              </w:rPr>
            </w:pPr>
          </w:p>
        </w:tc>
      </w:tr>
    </w:tbl>
    <w:p>
      <w:pPr>
        <w:spacing w:line="360" w:lineRule="auto"/>
        <w:jc w:val="left"/>
        <w:rPr>
          <w:rFonts w:ascii="宋体" w:hAnsi="宋体" w:cs="宋体"/>
          <w:b/>
          <w:bCs/>
          <w:spacing w:val="-4"/>
          <w:sz w:val="28"/>
          <w:szCs w:val="28"/>
        </w:rPr>
      </w:pPr>
      <w:bookmarkStart w:id="9" w:name="_Toc10860"/>
    </w:p>
    <w:p>
      <w:pPr>
        <w:spacing w:line="360" w:lineRule="auto"/>
        <w:jc w:val="left"/>
        <w:rPr>
          <w:rFonts w:ascii="宋体" w:hAnsi="宋体" w:cs="宋体"/>
          <w:b/>
          <w:bCs/>
          <w:spacing w:val="-4"/>
          <w:sz w:val="28"/>
          <w:szCs w:val="28"/>
        </w:rPr>
      </w:pPr>
    </w:p>
    <w:p>
      <w:pPr>
        <w:pStyle w:val="3"/>
        <w:keepNext/>
        <w:keepLines/>
        <w:pageBreakBefore w:val="0"/>
        <w:widowControl w:val="0"/>
        <w:tabs>
          <w:tab w:val="left" w:pos="483"/>
        </w:tabs>
        <w:kinsoku/>
        <w:wordWrap/>
        <w:overflowPunct/>
        <w:topLinePunct w:val="0"/>
        <w:autoSpaceDE/>
        <w:autoSpaceDN/>
        <w:bidi w:val="0"/>
        <w:adjustRightInd/>
        <w:snapToGrid/>
        <w:spacing w:beforeLines="50" w:afterLines="50" w:line="240" w:lineRule="auto"/>
        <w:textAlignment w:val="auto"/>
        <w:rPr>
          <w:rFonts w:ascii="Times New Roman" w:hAnsi="Times New Roman" w:cs="Times New Roman"/>
          <w:sz w:val="28"/>
          <w:szCs w:val="28"/>
        </w:rPr>
      </w:pPr>
      <w:bookmarkStart w:id="10" w:name="_Toc10277"/>
      <w:r>
        <w:rPr>
          <w:rFonts w:hint="eastAsia" w:ascii="Times New Roman" w:hAnsi="Times New Roman" w:cs="Times New Roman"/>
          <w:sz w:val="28"/>
          <w:szCs w:val="28"/>
        </w:rPr>
        <w:t>表六</w:t>
      </w:r>
      <w:r>
        <w:rPr>
          <w:rFonts w:hint="eastAsia" w:ascii="Times New Roman" w:hAnsi="Times New Roman" w:cs="Times New Roman"/>
          <w:sz w:val="28"/>
          <w:szCs w:val="28"/>
          <w:lang w:val="en-US" w:eastAsia="zh-CN"/>
        </w:rPr>
        <w:t xml:space="preserve"> </w:t>
      </w:r>
      <w:r>
        <w:rPr>
          <w:rFonts w:hint="eastAsia" w:ascii="Times New Roman" w:hAnsi="Times New Roman" w:cs="Times New Roman"/>
          <w:sz w:val="28"/>
          <w:szCs w:val="28"/>
        </w:rPr>
        <w:t>环境影响评价回顾</w:t>
      </w:r>
      <w:bookmarkEnd w:id="9"/>
      <w:bookmarkEnd w:id="10"/>
    </w:p>
    <w:p>
      <w:pPr>
        <w:spacing w:line="80" w:lineRule="exact"/>
        <w:rPr>
          <w:sz w:val="24"/>
          <w:szCs w:val="24"/>
        </w:rPr>
      </w:pPr>
    </w:p>
    <w:tbl>
      <w:tblPr>
        <w:tblStyle w:val="120"/>
        <w:tblW w:w="950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0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26" w:hRule="atLeast"/>
        </w:trPr>
        <w:tc>
          <w:tcPr>
            <w:tcW w:w="9503"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bookmarkStart w:id="11" w:name="_bookmark5"/>
            <w:bookmarkEnd w:id="11"/>
            <w:r>
              <w:rPr>
                <w:rFonts w:hint="eastAsia"/>
                <w:sz w:val="24"/>
                <w:szCs w:val="24"/>
              </w:rPr>
              <w:t>6</w:t>
            </w:r>
            <w:r>
              <w:rPr>
                <w:sz w:val="24"/>
                <w:szCs w:val="24"/>
              </w:rPr>
              <w:t>.1环境影响评价的主要环境影响预测及结论（生态、声、大气、水、振动、电磁、固体废物等）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1、水环境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本工程</w:t>
            </w:r>
            <w:r>
              <w:rPr>
                <w:rFonts w:hint="eastAsia"/>
                <w:sz w:val="24"/>
                <w:szCs w:val="24"/>
              </w:rPr>
              <w:t>生产废水主要为生活污水</w:t>
            </w:r>
            <w:r>
              <w:rPr>
                <w:rFonts w:hint="eastAsia"/>
                <w:sz w:val="24"/>
                <w:szCs w:val="24"/>
                <w:lang w:val="en-US" w:eastAsia="zh-CN"/>
              </w:rPr>
              <w:t>及食堂废水经厂区化粪池、隔油池及地埋式污水处理设施处理后用于绿化</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2、声环境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本项目噪声主要来自风电场</w:t>
            </w:r>
            <w:r>
              <w:rPr>
                <w:sz w:val="24"/>
                <w:szCs w:val="24"/>
              </w:rPr>
              <w:t>。根据预测，</w:t>
            </w:r>
            <w:r>
              <w:rPr>
                <w:rFonts w:hint="eastAsia"/>
                <w:sz w:val="24"/>
                <w:szCs w:val="24"/>
              </w:rPr>
              <w:t>风电场</w:t>
            </w:r>
            <w:r>
              <w:rPr>
                <w:sz w:val="24"/>
                <w:szCs w:val="24"/>
              </w:rPr>
              <w:t>噪声对周边声环境的影响很小</w:t>
            </w:r>
            <w:r>
              <w:rPr>
                <w:rFonts w:hint="eastAsia"/>
                <w:sz w:val="24"/>
                <w:szCs w:val="24"/>
                <w:lang w:eastAsia="zh-CN"/>
              </w:rPr>
              <w:t>，</w:t>
            </w:r>
            <w:r>
              <w:rPr>
                <w:sz w:val="24"/>
                <w:szCs w:val="24"/>
              </w:rPr>
              <w:t>可满足国家《声环境质量标准》关于环境噪声限值的1类标准。项目区周围</w:t>
            </w:r>
            <w:r>
              <w:rPr>
                <w:rFonts w:hint="eastAsia"/>
                <w:sz w:val="24"/>
                <w:szCs w:val="24"/>
              </w:rPr>
              <w:t>无敏感点</w:t>
            </w:r>
            <w:r>
              <w:rPr>
                <w:sz w:val="24"/>
                <w:szCs w:val="24"/>
              </w:rPr>
              <w:t>。因此，运营期的噪声对周围的声环境影响很小。</w:t>
            </w:r>
          </w:p>
          <w:p>
            <w:pPr>
              <w:pStyle w:val="32"/>
              <w:keepNext w:val="0"/>
              <w:keepLines w:val="0"/>
              <w:pageBreakBefore w:val="0"/>
              <w:widowControl w:val="0"/>
              <w:numPr>
                <w:ilvl w:val="0"/>
                <w:numId w:val="1"/>
              </w:numPr>
              <w:kinsoku/>
              <w:wordWrap/>
              <w:overflowPunct/>
              <w:topLinePunct w:val="0"/>
              <w:autoSpaceDE/>
              <w:autoSpaceDN/>
              <w:bidi w:val="0"/>
              <w:adjustRightInd/>
              <w:snapToGrid/>
              <w:textAlignment w:val="auto"/>
              <w:rPr>
                <w:rFonts w:hint="eastAsia"/>
                <w:sz w:val="24"/>
                <w:szCs w:val="24"/>
                <w:lang w:val="en-US" w:eastAsia="zh-CN"/>
              </w:rPr>
            </w:pPr>
            <w:r>
              <w:rPr>
                <w:rFonts w:hint="eastAsia"/>
                <w:sz w:val="24"/>
                <w:szCs w:val="24"/>
                <w:lang w:val="en-US" w:eastAsia="zh-CN"/>
              </w:rPr>
              <w:t>大气环境</w:t>
            </w:r>
          </w:p>
          <w:p>
            <w:pPr>
              <w:pStyle w:val="3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sz w:val="24"/>
                <w:szCs w:val="24"/>
                <w:lang w:val="en-US" w:eastAsia="zh-CN"/>
              </w:rPr>
            </w:pPr>
            <w:r>
              <w:rPr>
                <w:rFonts w:hint="eastAsia"/>
                <w:sz w:val="24"/>
                <w:szCs w:val="24"/>
                <w:lang w:val="en-US" w:eastAsia="zh-CN"/>
              </w:rPr>
              <w:t>本项目职工生活产生的食堂油烟采用抽油烟机脱油净化处理后，通过烟道引至屋顶排放，对周围环境影响很小。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4</w:t>
            </w:r>
            <w:r>
              <w:rPr>
                <w:sz w:val="24"/>
                <w:szCs w:val="24"/>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本次项目投产运行后，其固废排放仅为生活垃圾</w:t>
            </w:r>
            <w:r>
              <w:rPr>
                <w:rFonts w:hint="eastAsia"/>
                <w:sz w:val="24"/>
                <w:szCs w:val="24"/>
                <w:lang w:val="en-US" w:eastAsia="zh-CN"/>
              </w:rPr>
              <w:t>餐厨垃圾、污泥和废含油抹布及手套</w:t>
            </w:r>
            <w:r>
              <w:rPr>
                <w:sz w:val="24"/>
                <w:szCs w:val="24"/>
              </w:rPr>
              <w:t>，委托环卫部门统一收集处理，对周围环境影响很小。</w:t>
            </w:r>
            <w:r>
              <w:rPr>
                <w:rFonts w:hint="eastAsia"/>
                <w:sz w:val="24"/>
                <w:szCs w:val="24"/>
              </w:rPr>
              <w:t>废变压器油、废润滑油交由</w:t>
            </w:r>
            <w:r>
              <w:rPr>
                <w:rFonts w:hint="eastAsia"/>
                <w:sz w:val="24"/>
                <w:szCs w:val="24"/>
                <w:lang w:val="en-US" w:eastAsia="zh-CN"/>
              </w:rPr>
              <w:t>有资质单位处理</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5</w:t>
            </w:r>
            <w:r>
              <w:rPr>
                <w:sz w:val="24"/>
                <w:szCs w:val="24"/>
              </w:rPr>
              <w:t>、</w:t>
            </w:r>
            <w:r>
              <w:rPr>
                <w:rFonts w:hint="eastAsia"/>
                <w:sz w:val="24"/>
                <w:szCs w:val="24"/>
              </w:rPr>
              <w:t>生态恢复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本项目</w:t>
            </w:r>
            <w:r>
              <w:rPr>
                <w:rFonts w:hint="eastAsia"/>
                <w:sz w:val="24"/>
                <w:szCs w:val="24"/>
              </w:rPr>
              <w:t>建设后，进行了植被的绿化种植和生态的绿化，对周边的生态环境影响较小</w:t>
            </w:r>
            <w:r>
              <w:rPr>
                <w:sz w:val="24"/>
                <w:szCs w:val="24"/>
              </w:rPr>
              <w:t>。</w:t>
            </w:r>
          </w:p>
          <w:tbl>
            <w:tblPr>
              <w:tblStyle w:val="34"/>
              <w:tblW w:w="7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1899"/>
              <w:gridCol w:w="1900"/>
              <w:gridCol w:w="1900"/>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899"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916940" cy="687705"/>
                        <wp:effectExtent l="0" t="0" r="16510" b="17145"/>
                        <wp:docPr id="10" name="图片 10" descr="85a12bdc474afce2d34b38448158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5a12bdc474afce2d34b3844815846e"/>
                                <pic:cNvPicPr>
                                  <a:picLocks noChangeAspect="1"/>
                                </pic:cNvPicPr>
                              </pic:nvPicPr>
                              <pic:blipFill>
                                <a:blip r:embed="rId18"/>
                                <a:stretch>
                                  <a:fillRect/>
                                </a:stretch>
                              </pic:blipFill>
                              <pic:spPr>
                                <a:xfrm>
                                  <a:off x="0" y="0"/>
                                  <a:ext cx="916940" cy="687705"/>
                                </a:xfrm>
                                <a:prstGeom prst="rect">
                                  <a:avLst/>
                                </a:prstGeom>
                              </pic:spPr>
                            </pic:pic>
                          </a:graphicData>
                        </a:graphic>
                      </wp:inline>
                    </w:drawing>
                  </w:r>
                </w:p>
              </w:tc>
              <w:tc>
                <w:tcPr>
                  <w:tcW w:w="1900"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1029970" cy="772160"/>
                        <wp:effectExtent l="0" t="0" r="17780" b="8890"/>
                        <wp:docPr id="11" name="图片 11" descr="f7d9c5f789b7c5a3fe1d617513ad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7d9c5f789b7c5a3fe1d617513ad8ea"/>
                                <pic:cNvPicPr>
                                  <a:picLocks noChangeAspect="1"/>
                                </pic:cNvPicPr>
                              </pic:nvPicPr>
                              <pic:blipFill>
                                <a:blip r:embed="rId19"/>
                                <a:stretch>
                                  <a:fillRect/>
                                </a:stretch>
                              </pic:blipFill>
                              <pic:spPr>
                                <a:xfrm>
                                  <a:off x="0" y="0"/>
                                  <a:ext cx="1029970" cy="772160"/>
                                </a:xfrm>
                                <a:prstGeom prst="rect">
                                  <a:avLst/>
                                </a:prstGeom>
                              </pic:spPr>
                            </pic:pic>
                          </a:graphicData>
                        </a:graphic>
                      </wp:inline>
                    </w:drawing>
                  </w:r>
                </w:p>
              </w:tc>
              <w:tc>
                <w:tcPr>
                  <w:tcW w:w="1900"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1068705" cy="792480"/>
                        <wp:effectExtent l="0" t="0" r="17145" b="7620"/>
                        <wp:docPr id="12" name="图片 12" descr="1598e68d19d8b3ac338b17190f6c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8e68d19d8b3ac338b17190f6cf60"/>
                                <pic:cNvPicPr>
                                  <a:picLocks noChangeAspect="1"/>
                                </pic:cNvPicPr>
                              </pic:nvPicPr>
                              <pic:blipFill>
                                <a:blip r:embed="rId20"/>
                                <a:stretch>
                                  <a:fillRect/>
                                </a:stretch>
                              </pic:blipFill>
                              <pic:spPr>
                                <a:xfrm>
                                  <a:off x="0" y="0"/>
                                  <a:ext cx="1068705" cy="792480"/>
                                </a:xfrm>
                                <a:prstGeom prst="rect">
                                  <a:avLst/>
                                </a:prstGeom>
                              </pic:spPr>
                            </pic:pic>
                          </a:graphicData>
                        </a:graphic>
                      </wp:inline>
                    </w:drawing>
                  </w:r>
                </w:p>
              </w:tc>
              <w:tc>
                <w:tcPr>
                  <w:tcW w:w="1900"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1029970" cy="772160"/>
                        <wp:effectExtent l="0" t="0" r="17780" b="8890"/>
                        <wp:docPr id="13" name="图片 13" descr="9ede0b96185f960b7203ee4907ce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ede0b96185f960b7203ee4907cea3f"/>
                                <pic:cNvPicPr>
                                  <a:picLocks noChangeAspect="1"/>
                                </pic:cNvPicPr>
                              </pic:nvPicPr>
                              <pic:blipFill>
                                <a:blip r:embed="rId21"/>
                                <a:stretch>
                                  <a:fillRect/>
                                </a:stretch>
                              </pic:blipFill>
                              <pic:spPr>
                                <a:xfrm>
                                  <a:off x="0" y="0"/>
                                  <a:ext cx="1029970" cy="772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7599" w:type="dxa"/>
                  <w:gridSpan w:val="4"/>
                </w:tcPr>
                <w:p>
                  <w:pPr>
                    <w:pStyle w:val="2"/>
                    <w:jc w:val="center"/>
                    <w:rPr>
                      <w:rFonts w:hint="default" w:eastAsia="宋体"/>
                      <w:vertAlign w:val="baseline"/>
                      <w:lang w:val="en-US" w:eastAsia="zh-CN"/>
                    </w:rPr>
                  </w:pPr>
                  <w:r>
                    <w:rPr>
                      <w:rFonts w:hint="eastAsia"/>
                      <w:b w:val="0"/>
                      <w:bCs w:val="0"/>
                      <w:sz w:val="24"/>
                      <w:szCs w:val="24"/>
                      <w:vertAlign w:val="baseline"/>
                      <w:lang w:val="en-US" w:eastAsia="zh-CN"/>
                    </w:rPr>
                    <w:t>图6.1 施工期图片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1899"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1056005" cy="792480"/>
                        <wp:effectExtent l="0" t="0" r="10795" b="7620"/>
                        <wp:docPr id="14" name="图片 14" descr="31d07a756b40d139272065cfa514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1d07a756b40d139272065cfa514adc"/>
                                <pic:cNvPicPr>
                                  <a:picLocks noChangeAspect="1"/>
                                </pic:cNvPicPr>
                              </pic:nvPicPr>
                              <pic:blipFill>
                                <a:blip r:embed="rId22"/>
                                <a:stretch>
                                  <a:fillRect/>
                                </a:stretch>
                              </pic:blipFill>
                              <pic:spPr>
                                <a:xfrm>
                                  <a:off x="0" y="0"/>
                                  <a:ext cx="1056005" cy="792480"/>
                                </a:xfrm>
                                <a:prstGeom prst="rect">
                                  <a:avLst/>
                                </a:prstGeom>
                              </pic:spPr>
                            </pic:pic>
                          </a:graphicData>
                        </a:graphic>
                      </wp:inline>
                    </w:drawing>
                  </w:r>
                </w:p>
              </w:tc>
              <w:tc>
                <w:tcPr>
                  <w:tcW w:w="3800" w:type="dxa"/>
                  <w:gridSpan w:val="2"/>
                </w:tcPr>
                <w:p>
                  <w:pPr>
                    <w:pStyle w:val="2"/>
                    <w:jc w:val="center"/>
                    <w:rPr>
                      <w:vertAlign w:val="baseline"/>
                    </w:rPr>
                  </w:pPr>
                  <w:r>
                    <w:rPr>
                      <w:rFonts w:hint="eastAsia" w:eastAsia="宋体"/>
                      <w:vertAlign w:val="baseline"/>
                      <w:lang w:eastAsia="zh-CN"/>
                    </w:rPr>
                    <w:drawing>
                      <wp:inline distT="0" distB="0" distL="114300" distR="114300">
                        <wp:extent cx="1056005" cy="792480"/>
                        <wp:effectExtent l="0" t="0" r="10795" b="7620"/>
                        <wp:docPr id="15" name="图片 15" descr="877bd103933e4a96ab6fde1784ad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77bd103933e4a96ab6fde1784ad8a9"/>
                                <pic:cNvPicPr>
                                  <a:picLocks noChangeAspect="1"/>
                                </pic:cNvPicPr>
                              </pic:nvPicPr>
                              <pic:blipFill>
                                <a:blip r:embed="rId23"/>
                                <a:stretch>
                                  <a:fillRect/>
                                </a:stretch>
                              </pic:blipFill>
                              <pic:spPr>
                                <a:xfrm>
                                  <a:off x="0" y="0"/>
                                  <a:ext cx="1056005" cy="792480"/>
                                </a:xfrm>
                                <a:prstGeom prst="rect">
                                  <a:avLst/>
                                </a:prstGeom>
                              </pic:spPr>
                            </pic:pic>
                          </a:graphicData>
                        </a:graphic>
                      </wp:inline>
                    </w:drawing>
                  </w:r>
                </w:p>
              </w:tc>
              <w:tc>
                <w:tcPr>
                  <w:tcW w:w="1900"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1056005" cy="792480"/>
                        <wp:effectExtent l="0" t="0" r="10795" b="7620"/>
                        <wp:docPr id="16" name="图片 16" descr="3de2bef12cefd65e8cce8496f625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de2bef12cefd65e8cce8496f6257b8"/>
                                <pic:cNvPicPr>
                                  <a:picLocks noChangeAspect="1"/>
                                </pic:cNvPicPr>
                              </pic:nvPicPr>
                              <pic:blipFill>
                                <a:blip r:embed="rId24"/>
                                <a:stretch>
                                  <a:fillRect/>
                                </a:stretch>
                              </pic:blipFill>
                              <pic:spPr>
                                <a:xfrm>
                                  <a:off x="0" y="0"/>
                                  <a:ext cx="1056005" cy="792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jc w:val="center"/>
              </w:trPr>
              <w:tc>
                <w:tcPr>
                  <w:tcW w:w="7599" w:type="dxa"/>
                  <w:gridSpan w:val="4"/>
                </w:tcPr>
                <w:p>
                  <w:pPr>
                    <w:pStyle w:val="2"/>
                    <w:jc w:val="center"/>
                    <w:rPr>
                      <w:vertAlign w:val="baseline"/>
                    </w:rPr>
                  </w:pPr>
                  <w:r>
                    <w:rPr>
                      <w:rFonts w:hint="eastAsia"/>
                      <w:b w:val="0"/>
                      <w:bCs w:val="0"/>
                      <w:sz w:val="24"/>
                      <w:szCs w:val="24"/>
                      <w:vertAlign w:val="baseline"/>
                      <w:lang w:val="en-US" w:eastAsia="zh-CN"/>
                    </w:rPr>
                    <w:t>图6.1 运营期图片</w:t>
                  </w:r>
                </w:p>
              </w:tc>
            </w:tr>
          </w:tbl>
          <w:p>
            <w:pPr>
              <w:pStyle w:val="2"/>
            </w:pPr>
          </w:p>
        </w:tc>
      </w:tr>
    </w:tbl>
    <w:p>
      <w:pPr>
        <w:pStyle w:val="3"/>
        <w:spacing w:before="0" w:after="0" w:line="240" w:lineRule="auto"/>
        <w:rPr>
          <w:sz w:val="28"/>
        </w:rPr>
        <w:sectPr>
          <w:headerReference r:id="rId3" w:type="default"/>
          <w:footerReference r:id="rId4" w:type="default"/>
          <w:type w:val="continuous"/>
          <w:pgSz w:w="11906" w:h="16838"/>
          <w:pgMar w:top="851" w:right="1134" w:bottom="851" w:left="1134" w:header="567" w:footer="567" w:gutter="0"/>
          <w:pgBorders>
            <w:top w:val="none" w:sz="0" w:space="0"/>
            <w:left w:val="none" w:sz="0" w:space="0"/>
            <w:bottom w:val="none" w:sz="0" w:space="0"/>
            <w:right w:val="none" w:sz="0" w:space="0"/>
          </w:pgBorders>
          <w:pgNumType w:start="0"/>
          <w:cols w:space="720" w:num="1"/>
          <w:titlePg/>
          <w:docGrid w:linePitch="312" w:charSpace="0"/>
        </w:sectPr>
      </w:pPr>
    </w:p>
    <w:p>
      <w:pPr>
        <w:pStyle w:val="3"/>
        <w:tabs>
          <w:tab w:val="left" w:pos="7275"/>
        </w:tabs>
        <w:spacing w:beforeLines="50" w:afterLines="50" w:line="240" w:lineRule="auto"/>
        <w:rPr>
          <w:sz w:val="28"/>
          <w:szCs w:val="28"/>
        </w:rPr>
      </w:pPr>
      <w:bookmarkStart w:id="12" w:name="_Toc4057"/>
      <w:r>
        <w:rPr>
          <w:sz w:val="28"/>
          <w:szCs w:val="28"/>
        </w:rPr>
        <w:t>表</w:t>
      </w:r>
      <w:r>
        <w:rPr>
          <w:rFonts w:hint="eastAsia"/>
          <w:sz w:val="28"/>
          <w:szCs w:val="28"/>
        </w:rPr>
        <w:t>七 建设项目环评报告表审批部门审批决定</w:t>
      </w:r>
      <w:bookmarkEnd w:id="12"/>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3" w:hRule="atLeast"/>
          <w:jc w:val="center"/>
        </w:trPr>
        <w:tc>
          <w:tcPr>
            <w:tcW w:w="5000" w:type="pct"/>
            <w:tcBorders>
              <w:top w:val="single" w:color="auto" w:sz="12" w:space="0"/>
              <w:left w:val="single" w:color="auto" w:sz="12" w:space="0"/>
              <w:bottom w:val="single" w:color="auto" w:sz="12" w:space="0"/>
              <w:right w:val="single" w:color="auto" w:sz="12" w:space="0"/>
            </w:tcBorders>
          </w:tcPr>
          <w:p>
            <w:pPr>
              <w:spacing w:line="360" w:lineRule="auto"/>
              <w:ind w:right="-34"/>
              <w:rPr>
                <w:b/>
                <w:sz w:val="28"/>
                <w:szCs w:val="28"/>
              </w:rPr>
            </w:pPr>
            <w:r>
              <w:rPr>
                <w:rFonts w:hint="eastAsia"/>
                <w:b/>
                <w:sz w:val="28"/>
                <w:szCs w:val="28"/>
              </w:rPr>
              <w:t>7.1 建设项目环评报告表的主要结论及建议</w:t>
            </w:r>
          </w:p>
          <w:p>
            <w:pPr>
              <w:spacing w:line="360" w:lineRule="auto"/>
              <w:ind w:firstLine="480" w:firstLineChars="200"/>
              <w:rPr>
                <w:bCs/>
                <w:sz w:val="24"/>
              </w:rPr>
            </w:pPr>
            <w:r>
              <w:rPr>
                <w:rFonts w:hint="eastAsia"/>
                <w:bCs/>
                <w:sz w:val="24"/>
              </w:rPr>
              <w:t>《</w:t>
            </w:r>
            <w:r>
              <w:rPr>
                <w:rFonts w:hint="eastAsia"/>
                <w:color w:val="000000" w:themeColor="text1"/>
                <w:sz w:val="24"/>
                <w:lang w:eastAsia="zh-CN"/>
              </w:rPr>
              <w:t>邳州市车辐山戴庄风电场项目</w:t>
            </w:r>
            <w:r>
              <w:rPr>
                <w:rFonts w:hint="eastAsia"/>
                <w:color w:val="000000" w:themeColor="text1"/>
                <w:sz w:val="24"/>
              </w:rPr>
              <w:t>环境影响报告表</w:t>
            </w:r>
            <w:r>
              <w:rPr>
                <w:rFonts w:hint="eastAsia"/>
                <w:bCs/>
                <w:sz w:val="24"/>
              </w:rPr>
              <w:t>》中对污染防治措施的要求见表7.1。</w:t>
            </w:r>
          </w:p>
          <w:p>
            <w:pPr>
              <w:spacing w:beforeLines="30" w:line="360" w:lineRule="auto"/>
              <w:jc w:val="center"/>
              <w:rPr>
                <w:b/>
                <w:sz w:val="24"/>
              </w:rPr>
            </w:pPr>
            <w:r>
              <w:rPr>
                <w:bCs/>
                <w:sz w:val="24"/>
              </w:rPr>
              <w:t>表</w:t>
            </w:r>
            <w:r>
              <w:rPr>
                <w:rFonts w:hint="eastAsia"/>
                <w:bCs/>
                <w:sz w:val="24"/>
              </w:rPr>
              <w:t>7.1 环境影响报告表中的要求</w:t>
            </w:r>
          </w:p>
          <w:tbl>
            <w:tblPr>
              <w:tblStyle w:val="3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115"/>
              <w:gridCol w:w="77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90" w:type="pct"/>
                  <w:vAlign w:val="center"/>
                </w:tcPr>
                <w:p>
                  <w:pPr>
                    <w:spacing w:line="360" w:lineRule="auto"/>
                    <w:jc w:val="center"/>
                    <w:rPr>
                      <w:sz w:val="24"/>
                      <w:szCs w:val="24"/>
                    </w:rPr>
                  </w:pPr>
                  <w:r>
                    <w:rPr>
                      <w:rFonts w:hint="eastAsia"/>
                      <w:sz w:val="24"/>
                      <w:szCs w:val="24"/>
                    </w:rPr>
                    <w:t>序号</w:t>
                  </w:r>
                </w:p>
              </w:tc>
              <w:tc>
                <w:tcPr>
                  <w:tcW w:w="4609" w:type="pct"/>
                  <w:gridSpan w:val="2"/>
                  <w:vAlign w:val="center"/>
                </w:tcPr>
                <w:p>
                  <w:pPr>
                    <w:spacing w:line="360" w:lineRule="auto"/>
                    <w:jc w:val="center"/>
                    <w:rPr>
                      <w:color w:val="000000" w:themeColor="text1"/>
                      <w:sz w:val="24"/>
                      <w:szCs w:val="24"/>
                    </w:rPr>
                  </w:pPr>
                  <w:r>
                    <w:rPr>
                      <w:rFonts w:hint="eastAsia"/>
                      <w:color w:val="000000" w:themeColor="text1"/>
                      <w:sz w:val="24"/>
                      <w:szCs w:val="24"/>
                    </w:rPr>
                    <w:t>环评报告中的要求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90" w:type="pct"/>
                  <w:vAlign w:val="center"/>
                </w:tcPr>
                <w:p>
                  <w:pPr>
                    <w:spacing w:line="360" w:lineRule="auto"/>
                    <w:jc w:val="center"/>
                    <w:rPr>
                      <w:sz w:val="24"/>
                      <w:szCs w:val="24"/>
                    </w:rPr>
                  </w:pPr>
                  <w:r>
                    <w:rPr>
                      <w:rFonts w:hint="eastAsia"/>
                      <w:sz w:val="24"/>
                      <w:szCs w:val="24"/>
                    </w:rPr>
                    <w:t>1</w:t>
                  </w:r>
                </w:p>
              </w:tc>
              <w:tc>
                <w:tcPr>
                  <w:tcW w:w="579" w:type="pct"/>
                  <w:vAlign w:val="center"/>
                </w:tcPr>
                <w:p>
                  <w:pPr>
                    <w:spacing w:line="360" w:lineRule="auto"/>
                    <w:jc w:val="center"/>
                    <w:rPr>
                      <w:sz w:val="24"/>
                      <w:szCs w:val="24"/>
                    </w:rPr>
                  </w:pPr>
                  <w:r>
                    <w:rPr>
                      <w:sz w:val="24"/>
                      <w:szCs w:val="24"/>
                    </w:rPr>
                    <w:t>废</w:t>
                  </w:r>
                  <w:r>
                    <w:rPr>
                      <w:rFonts w:hint="eastAsia"/>
                      <w:sz w:val="24"/>
                      <w:szCs w:val="24"/>
                    </w:rPr>
                    <w:t>水</w:t>
                  </w:r>
                </w:p>
              </w:tc>
              <w:tc>
                <w:tcPr>
                  <w:tcW w:w="4030" w:type="pct"/>
                  <w:vAlign w:val="center"/>
                </w:tcPr>
                <w:p>
                  <w:pPr>
                    <w:spacing w:line="360" w:lineRule="auto"/>
                    <w:jc w:val="center"/>
                    <w:rPr>
                      <w:color w:val="000000" w:themeColor="text1"/>
                      <w:sz w:val="24"/>
                      <w:szCs w:val="24"/>
                    </w:rPr>
                  </w:pPr>
                  <w:r>
                    <w:rPr>
                      <w:rFonts w:hint="eastAsia"/>
                      <w:sz w:val="24"/>
                      <w:szCs w:val="24"/>
                    </w:rPr>
                    <w:t>本项目产生的生活污水</w:t>
                  </w:r>
                  <w:r>
                    <w:rPr>
                      <w:rFonts w:hint="eastAsia"/>
                      <w:sz w:val="24"/>
                      <w:szCs w:val="24"/>
                      <w:lang w:val="en-US" w:eastAsia="zh-CN"/>
                    </w:rPr>
                    <w:t>和食堂废水经化粪池、隔油池及地埋式污水处理厂</w:t>
                  </w:r>
                  <w:r>
                    <w:rPr>
                      <w:rFonts w:hint="eastAsia"/>
                      <w:sz w:val="24"/>
                      <w:szCs w:val="24"/>
                    </w:rPr>
                    <w:t>，</w:t>
                  </w:r>
                  <w:r>
                    <w:rPr>
                      <w:rFonts w:hint="eastAsia"/>
                      <w:sz w:val="24"/>
                      <w:szCs w:val="24"/>
                      <w:lang w:val="en-US" w:eastAsia="zh-CN"/>
                    </w:rPr>
                    <w:t>用于厂区的绿化和道路散洒，</w:t>
                  </w:r>
                  <w:r>
                    <w:rPr>
                      <w:rFonts w:hint="eastAsia"/>
                      <w:sz w:val="24"/>
                      <w:szCs w:val="24"/>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0" w:type="pct"/>
                  <w:vAlign w:val="center"/>
                </w:tcPr>
                <w:p>
                  <w:pPr>
                    <w:spacing w:line="360" w:lineRule="auto"/>
                    <w:jc w:val="center"/>
                    <w:rPr>
                      <w:sz w:val="24"/>
                      <w:szCs w:val="24"/>
                    </w:rPr>
                  </w:pPr>
                  <w:r>
                    <w:rPr>
                      <w:rFonts w:hint="eastAsia"/>
                      <w:sz w:val="24"/>
                      <w:szCs w:val="24"/>
                    </w:rPr>
                    <w:t>2</w:t>
                  </w:r>
                </w:p>
              </w:tc>
              <w:tc>
                <w:tcPr>
                  <w:tcW w:w="579" w:type="pct"/>
                  <w:vAlign w:val="center"/>
                </w:tcPr>
                <w:p>
                  <w:pPr>
                    <w:spacing w:line="360" w:lineRule="auto"/>
                    <w:jc w:val="center"/>
                    <w:rPr>
                      <w:sz w:val="24"/>
                      <w:szCs w:val="24"/>
                    </w:rPr>
                  </w:pPr>
                  <w:r>
                    <w:rPr>
                      <w:sz w:val="24"/>
                      <w:szCs w:val="24"/>
                    </w:rPr>
                    <w:t>废</w:t>
                  </w:r>
                  <w:r>
                    <w:rPr>
                      <w:rFonts w:hint="eastAsia"/>
                      <w:sz w:val="24"/>
                      <w:szCs w:val="24"/>
                    </w:rPr>
                    <w:t>气</w:t>
                  </w:r>
                </w:p>
              </w:tc>
              <w:tc>
                <w:tcPr>
                  <w:tcW w:w="4030" w:type="pct"/>
                  <w:vAlign w:val="center"/>
                </w:tcPr>
                <w:p>
                  <w:pPr>
                    <w:spacing w:line="360" w:lineRule="auto"/>
                    <w:ind w:left="-105" w:leftChars="-50" w:right="-105" w:rightChars="-50"/>
                    <w:jc w:val="center"/>
                    <w:rPr>
                      <w:rFonts w:hint="default" w:eastAsia="宋体"/>
                      <w:sz w:val="24"/>
                      <w:szCs w:val="24"/>
                      <w:lang w:val="en-US" w:eastAsia="zh-CN"/>
                    </w:rPr>
                  </w:pPr>
                  <w:r>
                    <w:rPr>
                      <w:rFonts w:hint="eastAsia"/>
                      <w:sz w:val="24"/>
                      <w:szCs w:val="24"/>
                      <w:lang w:val="en-US" w:eastAsia="zh-CN"/>
                    </w:rPr>
                    <w:t>本项目产生的油烟废气经</w:t>
                  </w:r>
                  <w:r>
                    <w:rPr>
                      <w:rFonts w:hint="eastAsia" w:ascii="宋体" w:hAnsi="宋体" w:cs="宋体"/>
                      <w:spacing w:val="-4"/>
                      <w:sz w:val="24"/>
                      <w:szCs w:val="24"/>
                      <w:lang w:val="en-US" w:eastAsia="zh-CN"/>
                    </w:rPr>
                    <w:t>抽油烟机脱油净化处理后，通过烟道引至屋顶排放，达到《饮食业油烟排放标准》（GB18483-2001）中相应标准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90" w:type="pct"/>
                  <w:vAlign w:val="center"/>
                </w:tcPr>
                <w:p>
                  <w:pPr>
                    <w:spacing w:line="360" w:lineRule="auto"/>
                    <w:jc w:val="center"/>
                    <w:rPr>
                      <w:sz w:val="24"/>
                      <w:szCs w:val="24"/>
                    </w:rPr>
                  </w:pPr>
                  <w:r>
                    <w:rPr>
                      <w:rFonts w:hint="eastAsia"/>
                      <w:sz w:val="24"/>
                      <w:szCs w:val="24"/>
                    </w:rPr>
                    <w:t>3</w:t>
                  </w:r>
                </w:p>
              </w:tc>
              <w:tc>
                <w:tcPr>
                  <w:tcW w:w="579" w:type="pct"/>
                  <w:vAlign w:val="center"/>
                </w:tcPr>
                <w:p>
                  <w:pPr>
                    <w:spacing w:line="360" w:lineRule="auto"/>
                    <w:jc w:val="center"/>
                    <w:rPr>
                      <w:sz w:val="24"/>
                      <w:szCs w:val="24"/>
                    </w:rPr>
                  </w:pPr>
                  <w:r>
                    <w:rPr>
                      <w:sz w:val="24"/>
                      <w:szCs w:val="24"/>
                    </w:rPr>
                    <w:t>噪声</w:t>
                  </w:r>
                </w:p>
              </w:tc>
              <w:tc>
                <w:tcPr>
                  <w:tcW w:w="4030" w:type="pct"/>
                  <w:vAlign w:val="center"/>
                </w:tcPr>
                <w:p>
                  <w:pPr>
                    <w:widowControl/>
                    <w:spacing w:line="360" w:lineRule="auto"/>
                    <w:jc w:val="center"/>
                    <w:rPr>
                      <w:sz w:val="24"/>
                      <w:szCs w:val="24"/>
                    </w:rPr>
                  </w:pPr>
                  <w:r>
                    <w:rPr>
                      <w:rFonts w:hint="eastAsia"/>
                      <w:sz w:val="24"/>
                      <w:szCs w:val="24"/>
                    </w:rPr>
                    <w:t>本项目对产生噪声设备进行了合理的布局，同时采取降噪、消声、绿化</w:t>
                  </w:r>
                  <w:r>
                    <w:rPr>
                      <w:rFonts w:hint="eastAsia"/>
                      <w:sz w:val="24"/>
                      <w:szCs w:val="24"/>
                      <w:lang w:eastAsia="zh-CN"/>
                    </w:rPr>
                    <w:t>及</w:t>
                  </w:r>
                  <w:r>
                    <w:rPr>
                      <w:rFonts w:hint="eastAsia"/>
                      <w:sz w:val="24"/>
                      <w:szCs w:val="24"/>
                    </w:rPr>
                    <w:t>吸声等降噪措施，确</w:t>
                  </w:r>
                  <w:r>
                    <w:rPr>
                      <w:rFonts w:hint="eastAsia"/>
                      <w:sz w:val="24"/>
                      <w:szCs w:val="24"/>
                      <w:lang w:val="en-US" w:eastAsia="zh-CN"/>
                    </w:rPr>
                    <w:t>保风电场</w:t>
                  </w:r>
                  <w:r>
                    <w:rPr>
                      <w:rFonts w:hint="eastAsia"/>
                      <w:sz w:val="24"/>
                      <w:szCs w:val="24"/>
                    </w:rPr>
                    <w:t>噪声达到《工业企业厂界环境噪声排放标准》（GB12348-2008）1类标准要求。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390" w:type="pct"/>
                  <w:vAlign w:val="center"/>
                </w:tcPr>
                <w:p>
                  <w:pPr>
                    <w:spacing w:line="360" w:lineRule="auto"/>
                    <w:jc w:val="center"/>
                    <w:rPr>
                      <w:sz w:val="24"/>
                      <w:szCs w:val="24"/>
                    </w:rPr>
                  </w:pPr>
                  <w:r>
                    <w:rPr>
                      <w:rFonts w:hint="eastAsia"/>
                      <w:sz w:val="24"/>
                      <w:szCs w:val="24"/>
                    </w:rPr>
                    <w:t>4</w:t>
                  </w:r>
                </w:p>
              </w:tc>
              <w:tc>
                <w:tcPr>
                  <w:tcW w:w="579" w:type="pct"/>
                  <w:vAlign w:val="center"/>
                </w:tcPr>
                <w:p>
                  <w:pPr>
                    <w:spacing w:line="360" w:lineRule="auto"/>
                    <w:jc w:val="center"/>
                    <w:rPr>
                      <w:sz w:val="24"/>
                      <w:szCs w:val="24"/>
                    </w:rPr>
                  </w:pPr>
                  <w:r>
                    <w:rPr>
                      <w:sz w:val="24"/>
                      <w:szCs w:val="24"/>
                    </w:rPr>
                    <w:t>固废</w:t>
                  </w:r>
                </w:p>
              </w:tc>
              <w:tc>
                <w:tcPr>
                  <w:tcW w:w="4030" w:type="pct"/>
                  <w:vAlign w:val="center"/>
                </w:tcPr>
                <w:p>
                  <w:pPr>
                    <w:widowControl/>
                    <w:spacing w:line="360" w:lineRule="auto"/>
                    <w:jc w:val="center"/>
                    <w:rPr>
                      <w:sz w:val="24"/>
                      <w:szCs w:val="24"/>
                    </w:rPr>
                  </w:pPr>
                  <w:r>
                    <w:rPr>
                      <w:rFonts w:hint="eastAsia"/>
                      <w:sz w:val="24"/>
                      <w:szCs w:val="24"/>
                    </w:rPr>
                    <w:t>本项目对其产生的固废进行分类收集后，危废均委托</w:t>
                  </w:r>
                  <w:r>
                    <w:rPr>
                      <w:rFonts w:hint="eastAsia"/>
                      <w:sz w:val="24"/>
                      <w:szCs w:val="24"/>
                      <w:lang w:val="en-US" w:eastAsia="zh-CN"/>
                    </w:rPr>
                    <w:t>交由有资质单位处理</w:t>
                  </w:r>
                  <w:r>
                    <w:rPr>
                      <w:rFonts w:hint="eastAsia"/>
                      <w:sz w:val="24"/>
                      <w:szCs w:val="24"/>
                    </w:rPr>
                    <w:t>；含油手套机抹布和生活垃圾</w:t>
                  </w:r>
                  <w:r>
                    <w:rPr>
                      <w:rFonts w:hint="eastAsia"/>
                      <w:sz w:val="24"/>
                      <w:szCs w:val="24"/>
                      <w:lang w:val="en-US" w:eastAsia="zh-CN"/>
                    </w:rPr>
                    <w:t>及餐厨垃圾</w:t>
                  </w:r>
                  <w:r>
                    <w:rPr>
                      <w:rFonts w:hint="eastAsia"/>
                      <w:sz w:val="24"/>
                      <w:szCs w:val="24"/>
                    </w:rPr>
                    <w:t>由环卫部门统一清运。以上各种固废做到100%处理，零排放，对周围环境不会带来二次污染及其他影响。</w:t>
                  </w:r>
                </w:p>
              </w:tc>
            </w:tr>
          </w:tbl>
          <w:p>
            <w:pPr>
              <w:spacing w:line="416" w:lineRule="auto"/>
              <w:ind w:right="-34" w:firstLine="482" w:firstLineChars="200"/>
              <w:rPr>
                <w:b/>
                <w:sz w:val="24"/>
              </w:rPr>
            </w:pPr>
            <w:r>
              <w:rPr>
                <w:rFonts w:hint="eastAsia"/>
                <w:b/>
                <w:sz w:val="24"/>
              </w:rPr>
              <w:t>总结论：</w:t>
            </w:r>
          </w:p>
          <w:p>
            <w:pPr>
              <w:spacing w:line="416" w:lineRule="auto"/>
              <w:ind w:right="-34" w:firstLine="480" w:firstLineChars="200"/>
              <w:rPr>
                <w:bCs/>
                <w:sz w:val="24"/>
              </w:rPr>
            </w:pPr>
            <w:r>
              <w:rPr>
                <w:rFonts w:hint="eastAsia"/>
                <w:bCs/>
                <w:sz w:val="24"/>
              </w:rPr>
              <w:t>本项目符合国家、地方法律法规和产业政策要求；其拟选厂址符合当地总体规划和环保规划要求；固体废物全部得到有效利用或妥善处置；项目采取的污染防治措施可行有效，项目实施后污染物可实行达标排放，项目建设对环境的影响较小。</w:t>
            </w:r>
          </w:p>
          <w:p>
            <w:pPr>
              <w:spacing w:line="416" w:lineRule="auto"/>
              <w:ind w:right="-34" w:firstLine="482" w:firstLineChars="200"/>
              <w:rPr>
                <w:b/>
                <w:sz w:val="24"/>
              </w:rPr>
            </w:pPr>
            <w:r>
              <w:rPr>
                <w:rFonts w:hint="eastAsia"/>
                <w:b/>
                <w:sz w:val="24"/>
              </w:rPr>
              <w:t>建议和要求：</w:t>
            </w:r>
          </w:p>
          <w:p>
            <w:pPr>
              <w:spacing w:line="416" w:lineRule="auto"/>
              <w:ind w:right="-34"/>
              <w:rPr>
                <w:bCs/>
                <w:sz w:val="24"/>
              </w:rPr>
            </w:pPr>
            <w:r>
              <w:rPr>
                <w:rFonts w:hint="eastAsia"/>
                <w:bCs/>
                <w:sz w:val="24"/>
              </w:rPr>
              <w:t xml:space="preserve">    （1）要求：</w:t>
            </w:r>
          </w:p>
          <w:p>
            <w:pPr>
              <w:keepNext w:val="0"/>
              <w:keepLines w:val="0"/>
              <w:pageBreakBefore w:val="0"/>
              <w:widowControl w:val="0"/>
              <w:kinsoku/>
              <w:wordWrap/>
              <w:overflowPunct/>
              <w:topLinePunct w:val="0"/>
              <w:autoSpaceDE/>
              <w:autoSpaceDN/>
              <w:bidi w:val="0"/>
              <w:adjustRightInd/>
              <w:snapToGrid/>
              <w:spacing w:line="416" w:lineRule="auto"/>
              <w:ind w:firstLine="480" w:firstLineChars="200"/>
              <w:textAlignment w:val="auto"/>
              <w:rPr>
                <w:bCs/>
                <w:sz w:val="24"/>
              </w:rPr>
            </w:pPr>
            <w:r>
              <w:rPr>
                <w:bCs/>
                <w:sz w:val="24"/>
              </w:rPr>
              <w:t>①上述评价结论是根据建设方提供的生产规模、工艺流程及与此对应的排污情况的基础上进行的，如果生产品种、规模、工艺流程和排污情况有所变化，建设单位应</w:t>
            </w:r>
            <w:r>
              <w:rPr>
                <w:rFonts w:hint="eastAsia"/>
                <w:bCs/>
                <w:sz w:val="24"/>
                <w:lang w:eastAsia="zh-CN"/>
              </w:rPr>
              <w:t>按照</w:t>
            </w:r>
            <w:r>
              <w:rPr>
                <w:bCs/>
                <w:sz w:val="24"/>
              </w:rPr>
              <w:t>环保部门的要求另行申报。</w:t>
            </w:r>
          </w:p>
          <w:p>
            <w:pPr>
              <w:spacing w:line="416" w:lineRule="auto"/>
              <w:ind w:firstLine="480" w:firstLineChars="200"/>
              <w:rPr>
                <w:b/>
                <w:sz w:val="28"/>
                <w:szCs w:val="28"/>
              </w:rPr>
            </w:pPr>
            <w:r>
              <w:rPr>
                <w:bCs/>
                <w:sz w:val="24"/>
              </w:rPr>
              <w:t>②</w:t>
            </w:r>
            <w:r>
              <w:rPr>
                <w:rFonts w:hint="eastAsia"/>
                <w:bCs/>
                <w:sz w:val="24"/>
              </w:rPr>
              <w:t>建设单位在项目实施过程中，务必认真落实各项治理措施，加强对环保设施的运行管理，制定有效的管理规章制度，落实到人。建设单位应十分重视引进和建立先进的环保管理模式，完善管理机制，强化职工自身的环保意识。</w:t>
            </w:r>
          </w:p>
          <w:p>
            <w:pPr>
              <w:spacing w:line="416" w:lineRule="auto"/>
              <w:ind w:firstLine="480" w:firstLineChars="200"/>
              <w:rPr>
                <w:bCs/>
                <w:sz w:val="24"/>
              </w:rPr>
            </w:pPr>
            <w:r>
              <w:rPr>
                <w:bCs/>
                <w:sz w:val="24"/>
              </w:rPr>
              <w:t>（2）建议：</w:t>
            </w:r>
          </w:p>
          <w:p>
            <w:pPr>
              <w:spacing w:line="416" w:lineRule="auto"/>
              <w:rPr>
                <w:bCs/>
                <w:sz w:val="24"/>
              </w:rPr>
            </w:pPr>
            <w:r>
              <w:rPr>
                <w:rFonts w:hint="eastAsia"/>
                <w:bCs/>
                <w:sz w:val="24"/>
              </w:rPr>
              <w:t xml:space="preserve">    建设项目运营后需要在以下几个方面加强管理：</w:t>
            </w:r>
          </w:p>
          <w:p>
            <w:pPr>
              <w:spacing w:line="416" w:lineRule="auto"/>
              <w:ind w:firstLine="480" w:firstLineChars="200"/>
              <w:rPr>
                <w:bCs/>
                <w:sz w:val="24"/>
              </w:rPr>
            </w:pPr>
            <w:r>
              <w:rPr>
                <w:rFonts w:ascii="Calibri" w:hAnsi="Calibri" w:cs="Calibri"/>
                <w:bCs/>
                <w:sz w:val="24"/>
              </w:rPr>
              <w:t>①</w:t>
            </w:r>
            <w:r>
              <w:rPr>
                <w:rFonts w:hint="eastAsia" w:ascii="Calibri" w:hAnsi="Calibri" w:cs="Calibri"/>
                <w:bCs/>
                <w:sz w:val="24"/>
              </w:rPr>
              <w:t>尽量选择低噪声设备，且加强对设备及噪声防治措施的维护保养，使其始终达到应有的效果，尽最大可能减少噪声对周围环境的影响。</w:t>
            </w:r>
          </w:p>
          <w:p>
            <w:pPr>
              <w:spacing w:line="416" w:lineRule="auto"/>
              <w:ind w:firstLine="480" w:firstLineChars="200"/>
              <w:rPr>
                <w:bCs/>
                <w:sz w:val="24"/>
              </w:rPr>
            </w:pPr>
            <w:r>
              <w:rPr>
                <w:rFonts w:ascii="Calibri" w:hAnsi="Calibri" w:cs="Calibri"/>
                <w:bCs/>
                <w:sz w:val="24"/>
              </w:rPr>
              <w:t>②</w:t>
            </w:r>
            <w:r>
              <w:rPr>
                <w:rFonts w:hint="eastAsia" w:ascii="Calibri" w:hAnsi="Calibri" w:cs="Calibri"/>
                <w:bCs/>
                <w:sz w:val="24"/>
              </w:rPr>
              <w:t>加强对固体废物的管理，严格按照徐州市的相关要求执行。</w:t>
            </w:r>
          </w:p>
          <w:p>
            <w:pPr>
              <w:spacing w:line="416" w:lineRule="auto"/>
              <w:ind w:firstLine="480" w:firstLineChars="200"/>
              <w:rPr>
                <w:bCs/>
                <w:sz w:val="24"/>
              </w:rPr>
            </w:pPr>
            <w:r>
              <w:rPr>
                <w:rFonts w:ascii="Calibri" w:hAnsi="Calibri" w:cs="Calibri"/>
                <w:bCs/>
                <w:sz w:val="24"/>
              </w:rPr>
              <w:t>③</w:t>
            </w:r>
            <w:r>
              <w:rPr>
                <w:rFonts w:hint="eastAsia" w:ascii="Calibri" w:hAnsi="Calibri" w:cs="Calibri"/>
                <w:bCs/>
                <w:sz w:val="24"/>
              </w:rPr>
              <w:t>加强业务培训和宣传教育工作，使每个员工树立节能意识、环保意识；做好与周边居民的沟通协调工作，避免引起纠纷。</w:t>
            </w:r>
          </w:p>
          <w:p>
            <w:pPr>
              <w:spacing w:line="416" w:lineRule="auto"/>
              <w:ind w:firstLine="480" w:firstLineChars="200"/>
              <w:rPr>
                <w:rFonts w:ascii="宋体" w:hAnsi="宋体" w:cs="宋体"/>
                <w:bCs/>
                <w:sz w:val="24"/>
              </w:rPr>
            </w:pPr>
            <w:r>
              <w:rPr>
                <w:rFonts w:hint="eastAsia" w:ascii="宋体" w:hAnsi="宋体" w:cs="宋体"/>
                <w:bCs/>
                <w:sz w:val="24"/>
              </w:rPr>
              <w:t>④严格执行“三同时”政策。</w:t>
            </w:r>
          </w:p>
          <w:p>
            <w:pPr>
              <w:spacing w:line="416" w:lineRule="auto"/>
              <w:ind w:right="-34"/>
              <w:rPr>
                <w:b/>
                <w:color w:val="auto"/>
                <w:sz w:val="28"/>
                <w:szCs w:val="28"/>
              </w:rPr>
            </w:pPr>
            <w:r>
              <w:rPr>
                <w:rFonts w:hint="eastAsia"/>
                <w:b/>
                <w:sz w:val="28"/>
                <w:szCs w:val="28"/>
              </w:rPr>
              <w:t>7.2</w:t>
            </w:r>
            <w:r>
              <w:rPr>
                <w:rFonts w:hint="eastAsia"/>
                <w:b/>
                <w:color w:val="auto"/>
                <w:sz w:val="28"/>
                <w:szCs w:val="28"/>
              </w:rPr>
              <w:t>审批部门审批决定</w:t>
            </w:r>
          </w:p>
          <w:p>
            <w:pPr>
              <w:tabs>
                <w:tab w:val="left" w:pos="4350"/>
              </w:tabs>
              <w:spacing w:line="416" w:lineRule="auto"/>
              <w:ind w:firstLine="480" w:firstLineChars="200"/>
              <w:rPr>
                <w:sz w:val="24"/>
              </w:rPr>
            </w:pPr>
            <w:r>
              <w:rPr>
                <w:rFonts w:hint="eastAsia"/>
                <w:sz w:val="24"/>
              </w:rPr>
              <w:t>本项目于20</w:t>
            </w:r>
            <w:r>
              <w:rPr>
                <w:rFonts w:hint="eastAsia"/>
                <w:sz w:val="24"/>
                <w:lang w:val="en-US" w:eastAsia="zh-CN"/>
              </w:rPr>
              <w:t>19</w:t>
            </w:r>
            <w:r>
              <w:rPr>
                <w:rFonts w:hint="eastAsia"/>
                <w:sz w:val="24"/>
              </w:rPr>
              <w:t>年</w:t>
            </w:r>
            <w:r>
              <w:rPr>
                <w:rFonts w:hint="eastAsia"/>
                <w:sz w:val="24"/>
                <w:lang w:val="en-US" w:eastAsia="zh-CN"/>
              </w:rPr>
              <w:t>9</w:t>
            </w:r>
            <w:r>
              <w:rPr>
                <w:rFonts w:hint="eastAsia"/>
                <w:sz w:val="24"/>
              </w:rPr>
              <w:t>月</w:t>
            </w:r>
            <w:r>
              <w:rPr>
                <w:rFonts w:hint="eastAsia"/>
                <w:sz w:val="24"/>
                <w:lang w:val="en-US" w:eastAsia="zh-CN"/>
              </w:rPr>
              <w:t>30</w:t>
            </w:r>
            <w:r>
              <w:rPr>
                <w:rFonts w:hint="eastAsia"/>
                <w:sz w:val="24"/>
              </w:rPr>
              <w:t>日通过</w:t>
            </w:r>
            <w:r>
              <w:rPr>
                <w:rFonts w:hint="eastAsia"/>
                <w:sz w:val="24"/>
                <w:lang w:val="en-US" w:eastAsia="zh-CN"/>
              </w:rPr>
              <w:t>邳州市环境保护局</w:t>
            </w:r>
            <w:r>
              <w:rPr>
                <w:rFonts w:hint="eastAsia"/>
                <w:sz w:val="24"/>
              </w:rPr>
              <w:t>（</w:t>
            </w:r>
            <w:r>
              <w:rPr>
                <w:rFonts w:hint="eastAsia"/>
                <w:sz w:val="24"/>
                <w:lang w:val="en-US" w:eastAsia="zh-CN"/>
              </w:rPr>
              <w:t>邳</w:t>
            </w:r>
            <w:r>
              <w:rPr>
                <w:rFonts w:hint="eastAsia"/>
                <w:sz w:val="24"/>
              </w:rPr>
              <w:t>环项表[20</w:t>
            </w:r>
            <w:r>
              <w:rPr>
                <w:rFonts w:hint="eastAsia"/>
                <w:sz w:val="24"/>
                <w:lang w:val="en-US" w:eastAsia="zh-CN"/>
              </w:rPr>
              <w:t>19</w:t>
            </w:r>
            <w:r>
              <w:rPr>
                <w:rFonts w:hint="eastAsia"/>
                <w:sz w:val="24"/>
              </w:rPr>
              <w:t>]</w:t>
            </w:r>
            <w:r>
              <w:rPr>
                <w:rFonts w:hint="eastAsia"/>
                <w:sz w:val="24"/>
                <w:lang w:val="en-US" w:eastAsia="zh-CN"/>
              </w:rPr>
              <w:t>109</w:t>
            </w:r>
            <w:r>
              <w:rPr>
                <w:rFonts w:hint="eastAsia"/>
                <w:sz w:val="24"/>
              </w:rPr>
              <w:t>号），具体审批意见如下：</w:t>
            </w:r>
          </w:p>
          <w:p>
            <w:pPr>
              <w:tabs>
                <w:tab w:val="left" w:pos="4350"/>
              </w:tabs>
              <w:spacing w:line="416" w:lineRule="auto"/>
              <w:ind w:firstLine="480" w:firstLineChars="200"/>
              <w:rPr>
                <w:sz w:val="24"/>
              </w:rPr>
            </w:pPr>
            <w:r>
              <w:rPr>
                <w:rFonts w:hint="eastAsia"/>
                <w:sz w:val="24"/>
              </w:rPr>
              <w:t>华润新能源（</w:t>
            </w:r>
            <w:r>
              <w:rPr>
                <w:rFonts w:hint="eastAsia"/>
                <w:sz w:val="24"/>
                <w:lang w:eastAsia="zh-CN"/>
              </w:rPr>
              <w:t>邳州</w:t>
            </w:r>
            <w:r>
              <w:rPr>
                <w:rFonts w:hint="eastAsia"/>
                <w:sz w:val="24"/>
              </w:rPr>
              <w:t>）有限公司：</w:t>
            </w:r>
          </w:p>
          <w:p>
            <w:pPr>
              <w:tabs>
                <w:tab w:val="left" w:pos="4350"/>
              </w:tabs>
              <w:spacing w:line="416" w:lineRule="auto"/>
              <w:ind w:firstLine="480" w:firstLineChars="200"/>
              <w:rPr>
                <w:sz w:val="24"/>
              </w:rPr>
            </w:pPr>
            <w:r>
              <w:rPr>
                <w:rFonts w:hint="eastAsia"/>
                <w:sz w:val="24"/>
              </w:rPr>
              <w:t>你公司</w:t>
            </w:r>
            <w:r>
              <w:rPr>
                <w:rFonts w:hint="eastAsia"/>
                <w:sz w:val="24"/>
                <w:lang w:val="en-US" w:eastAsia="zh-CN"/>
              </w:rPr>
              <w:t>委托江苏新诚润科工程咨询有限公司编制的《邳州市车辐山戴庄风电场项目环境影响报告表》</w:t>
            </w:r>
            <w:r>
              <w:rPr>
                <w:sz w:val="24"/>
              </w:rPr>
              <w:t>（以下简称《报告表》）</w:t>
            </w:r>
            <w:r>
              <w:rPr>
                <w:rFonts w:hint="eastAsia"/>
                <w:sz w:val="24"/>
              </w:rPr>
              <w:t>收悉</w:t>
            </w:r>
            <w:r>
              <w:rPr>
                <w:sz w:val="24"/>
              </w:rPr>
              <w:t>，</w:t>
            </w:r>
            <w:r>
              <w:rPr>
                <w:rFonts w:hint="eastAsia"/>
                <w:sz w:val="24"/>
                <w:lang w:val="en-US" w:eastAsia="zh-CN"/>
              </w:rPr>
              <w:t>经审核</w:t>
            </w:r>
            <w:r>
              <w:rPr>
                <w:sz w:val="24"/>
              </w:rPr>
              <w:t>，批复如下：</w:t>
            </w:r>
          </w:p>
          <w:p>
            <w:pPr>
              <w:pStyle w:val="2"/>
              <w:numPr>
                <w:ilvl w:val="0"/>
                <w:numId w:val="2"/>
              </w:numPr>
              <w:spacing w:before="0" w:after="0"/>
              <w:ind w:firstLine="480" w:firstLineChars="200"/>
              <w:rPr>
                <w:b w:val="0"/>
                <w:bCs w:val="0"/>
                <w:sz w:val="24"/>
                <w:szCs w:val="24"/>
              </w:rPr>
            </w:pPr>
            <w:r>
              <w:rPr>
                <w:rFonts w:hint="eastAsia"/>
                <w:b w:val="0"/>
                <w:bCs w:val="0"/>
                <w:sz w:val="24"/>
                <w:szCs w:val="24"/>
                <w:lang w:val="en-US" w:eastAsia="zh-CN"/>
              </w:rPr>
              <w:t>本项目选址于邳州</w:t>
            </w:r>
            <w:r>
              <w:rPr>
                <w:rFonts w:hint="eastAsia"/>
                <w:b w:val="0"/>
                <w:bCs w:val="0"/>
                <w:sz w:val="24"/>
                <w:szCs w:val="24"/>
                <w:lang w:eastAsia="zh-CN"/>
              </w:rPr>
              <w:t>车辐山镇、戴庄镇</w:t>
            </w:r>
            <w:r>
              <w:rPr>
                <w:rFonts w:hint="eastAsia"/>
                <w:b w:val="0"/>
                <w:bCs w:val="0"/>
                <w:sz w:val="24"/>
                <w:szCs w:val="24"/>
              </w:rPr>
              <w:t>。</w:t>
            </w:r>
            <w:r>
              <w:rPr>
                <w:rFonts w:hint="eastAsia"/>
                <w:b w:val="0"/>
                <w:bCs w:val="0"/>
                <w:sz w:val="24"/>
                <w:szCs w:val="24"/>
                <w:lang w:val="en-US" w:eastAsia="zh-CN"/>
              </w:rPr>
              <w:t>拟投资62513万元，在车辐山镇和戴庄镇建设装机87.5MW风电项目（其中车辐山镇装机容量50MW、戴庄镇装机容量37.5MW），在戴庄镇建设一座含运行管理中心的升压站。根据邳州市行政审批局文件（邳行审【2018】02182号）、徐州市发改委文件（徐发改核发【2018〕37号、徐发改核发【2019〕6号） 项目代码2018-320382-44-02-373584和《报告表》评价结论，从环保角度，本项目具有环境可行性。</w:t>
            </w:r>
          </w:p>
          <w:p>
            <w:pPr>
              <w:numPr>
                <w:ilvl w:val="0"/>
                <w:numId w:val="2"/>
              </w:numPr>
              <w:spacing w:line="416" w:lineRule="auto"/>
              <w:ind w:firstLine="480" w:firstLineChars="200"/>
              <w:rPr>
                <w:sz w:val="24"/>
              </w:rPr>
            </w:pPr>
            <w:r>
              <w:rPr>
                <w:rFonts w:hint="eastAsia"/>
                <w:sz w:val="24"/>
                <w:lang w:eastAsia="zh-CN"/>
              </w:rPr>
              <w:t>《</w:t>
            </w:r>
            <w:r>
              <w:rPr>
                <w:rFonts w:hint="eastAsia"/>
                <w:sz w:val="24"/>
                <w:lang w:val="en-US" w:eastAsia="zh-CN"/>
              </w:rPr>
              <w:t>报告表</w:t>
            </w:r>
            <w:r>
              <w:rPr>
                <w:rFonts w:hint="eastAsia"/>
                <w:sz w:val="24"/>
                <w:lang w:eastAsia="zh-CN"/>
              </w:rPr>
              <w:t>》</w:t>
            </w:r>
            <w:r>
              <w:rPr>
                <w:rFonts w:hint="eastAsia"/>
                <w:sz w:val="24"/>
                <w:lang w:val="en-US" w:eastAsia="zh-CN"/>
              </w:rPr>
              <w:t>提出的污染防治方案和各项环保措施及建议作为项目环境管理的依据，与本批复不一致之处，以本批复为准，建设单位须认真落实，确保各项污染物排放达到规定的排放标准。污染防治设施应当于主体工程同时设计，同时施工、同时投入使用，并着重做好以下工作：</w:t>
            </w:r>
          </w:p>
          <w:p>
            <w:pPr>
              <w:numPr>
                <w:ilvl w:val="0"/>
                <w:numId w:val="3"/>
              </w:numPr>
              <w:spacing w:line="416" w:lineRule="auto"/>
              <w:ind w:firstLine="480"/>
              <w:rPr>
                <w:sz w:val="24"/>
              </w:rPr>
            </w:pPr>
            <w:r>
              <w:rPr>
                <w:rFonts w:hint="eastAsia"/>
                <w:sz w:val="24"/>
                <w:lang w:val="en-US" w:eastAsia="zh-CN"/>
              </w:rPr>
              <w:t>废气：</w:t>
            </w:r>
            <w:r>
              <w:rPr>
                <w:rFonts w:hint="eastAsia"/>
                <w:sz w:val="24"/>
              </w:rPr>
              <w:t>施工期</w:t>
            </w:r>
            <w:r>
              <w:rPr>
                <w:rFonts w:hint="eastAsia"/>
                <w:sz w:val="24"/>
                <w:lang w:val="en-US" w:eastAsia="zh-CN"/>
              </w:rPr>
              <w:t>物料堆场，开挖的土石方应采取有效覆盖措施：施工场内应配备降尘设备，及时洒水降尘；渣土运输车辆应采取有效遮盖措施，严禁沿途抛洒。营运期食堂油烟废气经油烟净化器处理后达标排放。食堂油烟执行《饮食业油烟排放标准》（GB18483-2001）中相应标准</w:t>
            </w:r>
            <w:r>
              <w:rPr>
                <w:rFonts w:hint="eastAsia"/>
                <w:sz w:val="24"/>
              </w:rPr>
              <w:t>。</w:t>
            </w:r>
          </w:p>
          <w:p>
            <w:pPr>
              <w:numPr>
                <w:ilvl w:val="0"/>
                <w:numId w:val="3"/>
              </w:numPr>
              <w:spacing w:line="416" w:lineRule="auto"/>
              <w:ind w:firstLine="480"/>
              <w:rPr>
                <w:rFonts w:ascii="宋体" w:hAnsi="宋体" w:cs="宋体"/>
                <w:b w:val="0"/>
                <w:bCs w:val="0"/>
                <w:sz w:val="24"/>
                <w:szCs w:val="24"/>
              </w:rPr>
            </w:pPr>
            <w:r>
              <w:rPr>
                <w:rFonts w:hint="eastAsia"/>
                <w:sz w:val="24"/>
                <w:lang w:val="en-US" w:eastAsia="zh-CN"/>
              </w:rPr>
              <w:t>噪声：应选用低噪声设备，合理布设高噪声施工设备，采取有效减振、隔声等降噪措施。施工期噪声执行《建筑施工厂界环境噪声排放标准》（GB12523-2011）相关标准；营运期噪声排放执行《工业企业厂界环境噪声排放标准》（GB12348-2008）1类标准。</w:t>
            </w:r>
          </w:p>
          <w:p>
            <w:pPr>
              <w:numPr>
                <w:ilvl w:val="0"/>
                <w:numId w:val="3"/>
              </w:numPr>
              <w:spacing w:line="416" w:lineRule="auto"/>
              <w:ind w:firstLine="480"/>
              <w:rPr>
                <w:rFonts w:ascii="宋体" w:hAnsi="宋体" w:cs="宋体"/>
                <w:sz w:val="24"/>
              </w:rPr>
            </w:pPr>
            <w:r>
              <w:rPr>
                <w:rFonts w:hint="eastAsia" w:ascii="宋体" w:hAnsi="宋体" w:cs="宋体"/>
                <w:sz w:val="24"/>
                <w:lang w:val="en-US" w:eastAsia="zh-CN"/>
              </w:rPr>
              <w:t>固废：施工渣土应及时回填，生活垃圾交由环卫部门定期清运；营运期产生的废润滑油、废变压器油等危险废物应暂存在危险废物贮存库内并交给有资质的单位安全处置</w:t>
            </w:r>
            <w:r>
              <w:rPr>
                <w:rFonts w:hint="eastAsia" w:ascii="宋体" w:hAnsi="宋体" w:cs="宋体"/>
                <w:sz w:val="24"/>
              </w:rPr>
              <w:t>。</w:t>
            </w:r>
          </w:p>
          <w:p>
            <w:pPr>
              <w:pStyle w:val="2"/>
              <w:numPr>
                <w:ilvl w:val="0"/>
                <w:numId w:val="3"/>
              </w:numPr>
              <w:spacing w:before="0" w:after="0"/>
              <w:ind w:firstLine="480"/>
              <w:rPr>
                <w:rFonts w:ascii="宋体" w:hAnsi="宋体" w:cs="宋体"/>
                <w:b w:val="0"/>
                <w:bCs w:val="0"/>
                <w:sz w:val="24"/>
                <w:szCs w:val="24"/>
              </w:rPr>
            </w:pPr>
            <w:r>
              <w:rPr>
                <w:rFonts w:hint="eastAsia" w:ascii="宋体" w:hAnsi="宋体" w:cs="宋体"/>
                <w:b w:val="0"/>
                <w:bCs w:val="0"/>
                <w:sz w:val="24"/>
                <w:szCs w:val="24"/>
                <w:lang w:val="en-US" w:eastAsia="zh-CN"/>
              </w:rPr>
              <w:t>废水：施工期废水经临时收集处理措施处理后回，严禁排入地表水；营运期生活污水经污水处理设施处理达到《污水综合排放标准》（GB8978-1996）一级标准后用于厂区绿化，不外排。</w:t>
            </w:r>
          </w:p>
          <w:p>
            <w:pPr>
              <w:pStyle w:val="2"/>
              <w:numPr>
                <w:ilvl w:val="0"/>
                <w:numId w:val="2"/>
              </w:numPr>
              <w:spacing w:before="0" w:after="0"/>
              <w:ind w:firstLine="480" w:firstLineChars="200"/>
              <w:rPr>
                <w:rFonts w:ascii="宋体" w:hAnsi="宋体" w:cs="宋体"/>
                <w:b w:val="0"/>
                <w:bCs w:val="0"/>
                <w:sz w:val="24"/>
                <w:szCs w:val="24"/>
              </w:rPr>
            </w:pPr>
            <w:r>
              <w:rPr>
                <w:rFonts w:hint="eastAsia" w:ascii="宋体" w:hAnsi="宋体" w:cs="宋体"/>
                <w:b w:val="0"/>
                <w:bCs w:val="0"/>
                <w:sz w:val="24"/>
                <w:szCs w:val="24"/>
                <w:lang w:val="en-US" w:eastAsia="zh-CN"/>
              </w:rPr>
              <w:t>按照《江苏省排污口设置及规范化整治管理办法》【苏环控（1997）122号】有关规定和《报告表》中有关排污口的具体要求，规范化设置排污口和排污标识牌。</w:t>
            </w:r>
          </w:p>
          <w:p>
            <w:pPr>
              <w:numPr>
                <w:ilvl w:val="0"/>
                <w:numId w:val="2"/>
              </w:numPr>
              <w:spacing w:line="416" w:lineRule="auto"/>
              <w:ind w:firstLine="480" w:firstLineChars="200"/>
              <w:rPr>
                <w:rFonts w:ascii="宋体" w:hAnsi="宋体" w:cs="宋体"/>
                <w:sz w:val="24"/>
              </w:rPr>
            </w:pPr>
            <w:r>
              <w:rPr>
                <w:rFonts w:hint="eastAsia" w:ascii="宋体" w:hAnsi="宋体" w:cs="宋体"/>
                <w:sz w:val="24"/>
                <w:lang w:val="en-US" w:eastAsia="zh-CN"/>
              </w:rPr>
              <w:t>本</w:t>
            </w:r>
            <w:r>
              <w:rPr>
                <w:rFonts w:hint="eastAsia" w:ascii="宋体" w:hAnsi="宋体" w:cs="宋体"/>
                <w:sz w:val="24"/>
              </w:rPr>
              <w:t>项目</w:t>
            </w:r>
            <w:r>
              <w:rPr>
                <w:rFonts w:hint="eastAsia" w:ascii="宋体" w:hAnsi="宋体" w:cs="宋体"/>
                <w:sz w:val="24"/>
                <w:lang w:val="en-US" w:eastAsia="zh-CN"/>
              </w:rPr>
              <w:t>不申请污染物排放总量</w:t>
            </w:r>
            <w:r>
              <w:rPr>
                <w:rFonts w:hint="eastAsia" w:ascii="宋体" w:hAnsi="宋体" w:cs="宋体"/>
                <w:sz w:val="24"/>
              </w:rPr>
              <w:t>。</w:t>
            </w:r>
          </w:p>
          <w:p>
            <w:pPr>
              <w:pStyle w:val="2"/>
              <w:numPr>
                <w:ilvl w:val="0"/>
                <w:numId w:val="2"/>
              </w:numPr>
              <w:spacing w:before="0" w:after="0"/>
              <w:ind w:firstLine="480" w:firstLineChars="200"/>
              <w:rPr>
                <w:rFonts w:ascii="宋体" w:hAnsi="宋体" w:cs="宋体"/>
                <w:b w:val="0"/>
                <w:bCs w:val="0"/>
                <w:sz w:val="24"/>
                <w:szCs w:val="24"/>
              </w:rPr>
            </w:pPr>
            <w:r>
              <w:rPr>
                <w:rFonts w:hint="eastAsia" w:ascii="宋体" w:hAnsi="宋体" w:cs="宋体"/>
                <w:b w:val="0"/>
                <w:bCs w:val="0"/>
                <w:sz w:val="24"/>
                <w:szCs w:val="24"/>
                <w:lang w:eastAsia="zh-CN"/>
              </w:rPr>
              <w:t>邳州</w:t>
            </w:r>
            <w:r>
              <w:rPr>
                <w:rFonts w:hint="eastAsia" w:ascii="宋体" w:hAnsi="宋体" w:cs="宋体"/>
                <w:b w:val="0"/>
                <w:bCs w:val="0"/>
                <w:sz w:val="24"/>
                <w:szCs w:val="24"/>
                <w:lang w:val="en-US" w:eastAsia="zh-CN"/>
              </w:rPr>
              <w:t>市环境监察大队负责该项目日常环境监察管理，施工期应加强对项目建设及环保“三同时”落实情况现场督查检查。</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项目建成后，需按《建设项目竣工环境保护验收暂行办法》的要求组织环保竣工验收。经验收合格后，方可投入使用。</w:t>
            </w:r>
          </w:p>
          <w:p>
            <w:pPr>
              <w:numPr>
                <w:ilvl w:val="0"/>
                <w:numId w:val="2"/>
              </w:numPr>
              <w:spacing w:line="416" w:lineRule="auto"/>
              <w:ind w:firstLine="480" w:firstLineChars="200"/>
              <w:rPr>
                <w:rFonts w:ascii="宋体" w:hAnsi="宋体" w:cs="宋体"/>
                <w:sz w:val="24"/>
              </w:rPr>
            </w:pPr>
            <w:r>
              <w:rPr>
                <w:rFonts w:hint="eastAsia" w:ascii="宋体" w:hAnsi="宋体" w:cs="宋体"/>
                <w:sz w:val="24"/>
              </w:rPr>
              <w:t>本</w:t>
            </w:r>
            <w:r>
              <w:rPr>
                <w:rFonts w:hint="eastAsia" w:ascii="宋体" w:hAnsi="宋体" w:cs="宋体"/>
                <w:sz w:val="24"/>
                <w:lang w:val="en-US" w:eastAsia="zh-CN"/>
              </w:rPr>
              <w:t>批复自下发之日起5年内实施有效。经批准后，建设项目的性质、规模、地点、生产工艺和环境保护措施等发生重大变化，应重新报批环境影响评价文件</w:t>
            </w:r>
            <w:r>
              <w:rPr>
                <w:rFonts w:hint="eastAsia" w:ascii="宋体" w:hAnsi="宋体" w:cs="宋体"/>
                <w:sz w:val="24"/>
              </w:rPr>
              <w:t>。</w:t>
            </w:r>
          </w:p>
          <w:p>
            <w:pPr>
              <w:pStyle w:val="32"/>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八、环评文件及批复意见如与各项法律、法规、规章以及规范性文件发生冲突，以法律、法规、规章及规范性文件的规定为准。</w:t>
            </w:r>
          </w:p>
          <w:p>
            <w:pPr>
              <w:spacing w:line="416" w:lineRule="auto"/>
              <w:ind w:firstLine="480" w:firstLineChars="200"/>
              <w:rPr>
                <w:rFonts w:hint="eastAsia" w:ascii="宋体" w:hAnsi="宋体" w:eastAsia="宋体" w:cs="宋体"/>
                <w:kern w:val="2"/>
                <w:sz w:val="24"/>
                <w:szCs w:val="24"/>
                <w:lang w:val="en-US" w:eastAsia="zh-CN" w:bidi="ar-SA"/>
              </w:rPr>
            </w:pPr>
          </w:p>
          <w:p>
            <w:pPr>
              <w:widowControl/>
              <w:spacing w:line="360" w:lineRule="auto"/>
              <w:ind w:firstLine="480" w:firstLineChars="200"/>
              <w:jc w:val="left"/>
              <w:rPr>
                <w:rFonts w:cs="宋体"/>
                <w:kern w:val="0"/>
                <w:sz w:val="24"/>
              </w:rPr>
            </w:pPr>
          </w:p>
        </w:tc>
      </w:tr>
    </w:tbl>
    <w:p>
      <w:pPr>
        <w:pStyle w:val="3"/>
        <w:tabs>
          <w:tab w:val="left" w:pos="7275"/>
        </w:tabs>
        <w:spacing w:beforeLines="50" w:afterLines="50" w:line="240" w:lineRule="auto"/>
        <w:rPr>
          <w:rFonts w:hint="eastAsia"/>
          <w:sz w:val="28"/>
          <w:szCs w:val="28"/>
          <w:highlight w:val="none"/>
        </w:rPr>
      </w:pPr>
      <w:bookmarkStart w:id="13" w:name="_Toc295831046"/>
      <w:r>
        <w:rPr>
          <w:sz w:val="28"/>
          <w:szCs w:val="28"/>
        </w:rPr>
        <w:t>表</w:t>
      </w:r>
      <w:r>
        <w:rPr>
          <w:rFonts w:hint="eastAsia"/>
          <w:sz w:val="28"/>
          <w:szCs w:val="28"/>
        </w:rPr>
        <w:t>八</w:t>
      </w:r>
      <w:r>
        <w:rPr>
          <w:rFonts w:hint="eastAsia"/>
          <w:sz w:val="28"/>
          <w:szCs w:val="28"/>
          <w:highlight w:val="none"/>
        </w:rPr>
        <w:t xml:space="preserve"> 验收监测质量保证及质量控制</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60" w:hRule="atLeast"/>
          <w:jc w:val="center"/>
        </w:trPr>
        <w:tc>
          <w:tcPr>
            <w:tcW w:w="9773" w:type="dxa"/>
            <w:tcBorders>
              <w:top w:val="single" w:color="auto" w:sz="12" w:space="0"/>
              <w:left w:val="single" w:color="auto" w:sz="12" w:space="0"/>
              <w:bottom w:val="single" w:color="auto" w:sz="12" w:space="0"/>
              <w:right w:val="single" w:color="auto" w:sz="12" w:space="0"/>
            </w:tcBorders>
            <w:vAlign w:val="top"/>
          </w:tcPr>
          <w:p>
            <w:pPr>
              <w:pageBreakBefore w:val="0"/>
              <w:widowControl w:val="0"/>
              <w:kinsoku/>
              <w:wordWrap/>
              <w:overflowPunct/>
              <w:topLinePunct w:val="0"/>
              <w:autoSpaceDE/>
              <w:autoSpaceDN/>
              <w:bidi w:val="0"/>
              <w:adjustRightInd/>
              <w:snapToGrid/>
              <w:spacing w:line="360" w:lineRule="auto"/>
              <w:ind w:right="0"/>
              <w:textAlignment w:val="auto"/>
            </w:pPr>
            <w:r>
              <w:rPr>
                <w:rFonts w:hint="eastAsia"/>
              </w:rPr>
              <w:t>8</w:t>
            </w:r>
            <w:r>
              <w:t>.1 监测分析方法</w:t>
            </w:r>
          </w:p>
          <w:p>
            <w:pPr>
              <w:pageBreakBefore w:val="0"/>
              <w:widowControl w:val="0"/>
              <w:kinsoku/>
              <w:wordWrap/>
              <w:overflowPunct/>
              <w:topLinePunct w:val="0"/>
              <w:autoSpaceDE/>
              <w:autoSpaceDN/>
              <w:bidi w:val="0"/>
              <w:adjustRightInd/>
              <w:snapToGrid/>
              <w:ind w:right="0"/>
              <w:jc w:val="center"/>
              <w:textAlignment w:val="auto"/>
            </w:pPr>
            <w:r>
              <w:t>表</w:t>
            </w:r>
            <w:r>
              <w:rPr>
                <w:rFonts w:hint="eastAsia"/>
              </w:rPr>
              <w:t>8</w:t>
            </w:r>
            <w:r>
              <w:t>.1 监测分析方法</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6"/>
              <w:gridCol w:w="2264"/>
              <w:gridCol w:w="3967"/>
              <w:gridCol w:w="21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Align w:val="center"/>
                </w:tcPr>
                <w:p>
                  <w:pPr>
                    <w:pageBreakBefore w:val="0"/>
                    <w:widowControl w:val="0"/>
                    <w:kinsoku/>
                    <w:wordWrap/>
                    <w:overflowPunct/>
                    <w:topLinePunct w:val="0"/>
                    <w:autoSpaceDE/>
                    <w:autoSpaceDN/>
                    <w:bidi w:val="0"/>
                    <w:adjustRightInd/>
                    <w:snapToGrid/>
                    <w:ind w:right="0"/>
                    <w:jc w:val="center"/>
                    <w:textAlignment w:val="auto"/>
                  </w:pPr>
                  <w:r>
                    <w:t>类型</w:t>
                  </w:r>
                </w:p>
              </w:tc>
              <w:tc>
                <w:tcPr>
                  <w:tcW w:w="1174" w:type="pct"/>
                  <w:vAlign w:val="center"/>
                </w:tcPr>
                <w:p>
                  <w:pPr>
                    <w:pageBreakBefore w:val="0"/>
                    <w:widowControl w:val="0"/>
                    <w:kinsoku/>
                    <w:wordWrap/>
                    <w:overflowPunct/>
                    <w:topLinePunct w:val="0"/>
                    <w:autoSpaceDE/>
                    <w:autoSpaceDN/>
                    <w:bidi w:val="0"/>
                    <w:adjustRightInd/>
                    <w:snapToGrid/>
                    <w:ind w:right="0"/>
                    <w:jc w:val="center"/>
                    <w:textAlignment w:val="auto"/>
                  </w:pPr>
                  <w:r>
                    <w:t>监测因子</w:t>
                  </w:r>
                </w:p>
              </w:tc>
              <w:tc>
                <w:tcPr>
                  <w:tcW w:w="2057" w:type="pct"/>
                  <w:vAlign w:val="center"/>
                </w:tcPr>
                <w:p>
                  <w:pPr>
                    <w:pageBreakBefore w:val="0"/>
                    <w:widowControl w:val="0"/>
                    <w:kinsoku/>
                    <w:wordWrap/>
                    <w:overflowPunct/>
                    <w:topLinePunct w:val="0"/>
                    <w:autoSpaceDE/>
                    <w:autoSpaceDN/>
                    <w:bidi w:val="0"/>
                    <w:adjustRightInd/>
                    <w:snapToGrid/>
                    <w:ind w:right="0"/>
                    <w:jc w:val="center"/>
                    <w:textAlignment w:val="auto"/>
                  </w:pPr>
                  <w:r>
                    <w:t>分析方法</w:t>
                  </w:r>
                </w:p>
              </w:tc>
              <w:tc>
                <w:tcPr>
                  <w:tcW w:w="1100" w:type="pct"/>
                  <w:vAlign w:val="center"/>
                </w:tcPr>
                <w:p>
                  <w:pPr>
                    <w:pageBreakBefore w:val="0"/>
                    <w:widowControl w:val="0"/>
                    <w:kinsoku/>
                    <w:wordWrap/>
                    <w:overflowPunct/>
                    <w:topLinePunct w:val="0"/>
                    <w:autoSpaceDE/>
                    <w:autoSpaceDN/>
                    <w:bidi w:val="0"/>
                    <w:adjustRightInd/>
                    <w:snapToGrid/>
                    <w:ind w:right="0"/>
                    <w:jc w:val="center"/>
                    <w:textAlignment w:val="auto"/>
                  </w:pPr>
                  <w:r>
                    <w:t>标准编号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67" w:type="pct"/>
                  <w:vAlign w:val="center"/>
                </w:tcPr>
                <w:p>
                  <w:pPr>
                    <w:pageBreakBefore w:val="0"/>
                    <w:widowControl w:val="0"/>
                    <w:kinsoku/>
                    <w:wordWrap/>
                    <w:overflowPunct/>
                    <w:topLinePunct w:val="0"/>
                    <w:autoSpaceDE/>
                    <w:autoSpaceDN/>
                    <w:bidi w:val="0"/>
                    <w:adjustRightInd/>
                    <w:snapToGrid/>
                    <w:ind w:right="0"/>
                    <w:jc w:val="center"/>
                    <w:textAlignment w:val="auto"/>
                  </w:pPr>
                  <w:r>
                    <w:t>噪声</w:t>
                  </w:r>
                </w:p>
              </w:tc>
              <w:tc>
                <w:tcPr>
                  <w:tcW w:w="1174" w:type="pct"/>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Leq</w:t>
                  </w:r>
                  <w:r>
                    <w:t xml:space="preserve"> dB(A)</w:t>
                  </w:r>
                </w:p>
              </w:tc>
              <w:tc>
                <w:tcPr>
                  <w:tcW w:w="2057" w:type="pct"/>
                  <w:vAlign w:val="center"/>
                </w:tcPr>
                <w:p>
                  <w:pPr>
                    <w:pageBreakBefore w:val="0"/>
                    <w:widowControl w:val="0"/>
                    <w:kinsoku/>
                    <w:wordWrap/>
                    <w:overflowPunct/>
                    <w:topLinePunct w:val="0"/>
                    <w:autoSpaceDE/>
                    <w:autoSpaceDN/>
                    <w:bidi w:val="0"/>
                    <w:adjustRightInd/>
                    <w:snapToGrid/>
                    <w:ind w:right="0"/>
                    <w:jc w:val="center"/>
                    <w:textAlignment w:val="auto"/>
                  </w:pPr>
                  <w:r>
                    <w:t>工业企业厂界环境噪声排放标准</w:t>
                  </w:r>
                </w:p>
              </w:tc>
              <w:tc>
                <w:tcPr>
                  <w:tcW w:w="1100" w:type="pct"/>
                  <w:vAlign w:val="center"/>
                </w:tcPr>
                <w:p>
                  <w:pPr>
                    <w:pageBreakBefore w:val="0"/>
                    <w:widowControl w:val="0"/>
                    <w:kinsoku/>
                    <w:wordWrap/>
                    <w:overflowPunct/>
                    <w:topLinePunct w:val="0"/>
                    <w:autoSpaceDE/>
                    <w:autoSpaceDN/>
                    <w:bidi w:val="0"/>
                    <w:adjustRightInd/>
                    <w:snapToGrid/>
                    <w:ind w:right="0"/>
                    <w:jc w:val="center"/>
                    <w:textAlignment w:val="auto"/>
                  </w:pPr>
                  <w:r>
                    <w:t>GB12348-2008</w:t>
                  </w:r>
                </w:p>
              </w:tc>
            </w:tr>
          </w:tbl>
          <w:p>
            <w:pPr>
              <w:pageBreakBefore w:val="0"/>
              <w:widowControl w:val="0"/>
              <w:kinsoku/>
              <w:wordWrap/>
              <w:overflowPunct/>
              <w:topLinePunct w:val="0"/>
              <w:autoSpaceDE/>
              <w:autoSpaceDN/>
              <w:bidi w:val="0"/>
              <w:adjustRightInd/>
              <w:snapToGrid/>
              <w:spacing w:line="360" w:lineRule="auto"/>
              <w:ind w:right="0"/>
              <w:textAlignment w:val="auto"/>
            </w:pPr>
          </w:p>
          <w:p>
            <w:pPr>
              <w:pageBreakBefore w:val="0"/>
              <w:widowControl w:val="0"/>
              <w:kinsoku/>
              <w:wordWrap/>
              <w:overflowPunct/>
              <w:topLinePunct w:val="0"/>
              <w:autoSpaceDE/>
              <w:autoSpaceDN/>
              <w:bidi w:val="0"/>
              <w:adjustRightInd/>
              <w:snapToGrid/>
              <w:spacing w:line="360" w:lineRule="auto"/>
              <w:ind w:right="0"/>
              <w:textAlignment w:val="auto"/>
            </w:pPr>
            <w:r>
              <w:rPr>
                <w:rFonts w:hint="eastAsia"/>
              </w:rPr>
              <w:t>8.2 监测仪器</w:t>
            </w:r>
          </w:p>
          <w:p>
            <w:pPr>
              <w:pageBreakBefore w:val="0"/>
              <w:widowControl w:val="0"/>
              <w:kinsoku/>
              <w:wordWrap/>
              <w:overflowPunct/>
              <w:topLinePunct w:val="0"/>
              <w:autoSpaceDE/>
              <w:autoSpaceDN/>
              <w:bidi w:val="0"/>
              <w:adjustRightInd/>
              <w:snapToGrid/>
              <w:ind w:right="0"/>
              <w:jc w:val="center"/>
              <w:textAlignment w:val="auto"/>
            </w:pPr>
            <w:r>
              <w:t>表</w:t>
            </w:r>
            <w:r>
              <w:rPr>
                <w:rFonts w:hint="eastAsia"/>
              </w:rPr>
              <w:t>8.</w:t>
            </w:r>
            <w:r>
              <w:t>2 监测使用仪器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7"/>
              <w:gridCol w:w="2825"/>
              <w:gridCol w:w="2285"/>
              <w:gridCol w:w="1980"/>
              <w:gridCol w:w="18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375" w:type="pct"/>
                  <w:vAlign w:val="center"/>
                </w:tcPr>
                <w:p>
                  <w:pPr>
                    <w:pageBreakBefore w:val="0"/>
                    <w:widowControl w:val="0"/>
                    <w:kinsoku/>
                    <w:wordWrap/>
                    <w:overflowPunct/>
                    <w:topLinePunct w:val="0"/>
                    <w:autoSpaceDE/>
                    <w:autoSpaceDN/>
                    <w:bidi w:val="0"/>
                    <w:adjustRightInd/>
                    <w:snapToGrid/>
                    <w:ind w:right="0"/>
                    <w:jc w:val="center"/>
                    <w:textAlignment w:val="auto"/>
                  </w:pPr>
                  <w:r>
                    <w:t>序号</w:t>
                  </w:r>
                </w:p>
              </w:tc>
              <w:tc>
                <w:tcPr>
                  <w:tcW w:w="1468" w:type="pct"/>
                  <w:vAlign w:val="center"/>
                </w:tcPr>
                <w:p>
                  <w:pPr>
                    <w:pageBreakBefore w:val="0"/>
                    <w:widowControl w:val="0"/>
                    <w:kinsoku/>
                    <w:wordWrap/>
                    <w:overflowPunct/>
                    <w:topLinePunct w:val="0"/>
                    <w:autoSpaceDE/>
                    <w:autoSpaceDN/>
                    <w:bidi w:val="0"/>
                    <w:adjustRightInd/>
                    <w:snapToGrid/>
                    <w:ind w:right="0"/>
                    <w:jc w:val="center"/>
                    <w:textAlignment w:val="auto"/>
                  </w:pPr>
                  <w:r>
                    <w:t>仪器</w:t>
                  </w:r>
                  <w:r>
                    <w:rPr>
                      <w:rFonts w:hint="eastAsia"/>
                    </w:rPr>
                    <w:t>名称</w:t>
                  </w:r>
                </w:p>
              </w:tc>
              <w:tc>
                <w:tcPr>
                  <w:tcW w:w="1173" w:type="pct"/>
                  <w:vAlign w:val="center"/>
                </w:tcPr>
                <w:p>
                  <w:pPr>
                    <w:pageBreakBefore w:val="0"/>
                    <w:widowControl w:val="0"/>
                    <w:kinsoku/>
                    <w:wordWrap/>
                    <w:overflowPunct/>
                    <w:topLinePunct w:val="0"/>
                    <w:autoSpaceDE/>
                    <w:autoSpaceDN/>
                    <w:bidi w:val="0"/>
                    <w:adjustRightInd/>
                    <w:snapToGrid/>
                    <w:ind w:right="0"/>
                    <w:jc w:val="center"/>
                    <w:textAlignment w:val="auto"/>
                  </w:pPr>
                  <w:r>
                    <w:t>仪器</w:t>
                  </w:r>
                  <w:r>
                    <w:rPr>
                      <w:rFonts w:hint="eastAsia"/>
                    </w:rPr>
                    <w:t>型号</w:t>
                  </w:r>
                </w:p>
              </w:tc>
              <w:tc>
                <w:tcPr>
                  <w:tcW w:w="1030" w:type="pct"/>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仪器编号</w:t>
                  </w:r>
                </w:p>
              </w:tc>
              <w:tc>
                <w:tcPr>
                  <w:tcW w:w="952" w:type="pct"/>
                  <w:vAlign w:val="center"/>
                </w:tcPr>
                <w:p>
                  <w:pPr>
                    <w:pageBreakBefore w:val="0"/>
                    <w:widowControl w:val="0"/>
                    <w:kinsoku/>
                    <w:wordWrap/>
                    <w:overflowPunct/>
                    <w:topLinePunct w:val="0"/>
                    <w:autoSpaceDE/>
                    <w:autoSpaceDN/>
                    <w:bidi w:val="0"/>
                    <w:adjustRightInd/>
                    <w:snapToGrid/>
                    <w:ind w:right="0"/>
                    <w:jc w:val="center"/>
                    <w:textAlignment w:val="auto"/>
                  </w:pPr>
                  <w:r>
                    <w:t>检定/校准有效期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1</w:t>
                  </w:r>
                </w:p>
              </w:tc>
              <w:tc>
                <w:tcPr>
                  <w:tcW w:w="1468"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自动烟尘气测试仪</w:t>
                  </w:r>
                </w:p>
              </w:tc>
              <w:tc>
                <w:tcPr>
                  <w:tcW w:w="1173"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GH-60E</w:t>
                  </w:r>
                </w:p>
              </w:tc>
              <w:tc>
                <w:tcPr>
                  <w:tcW w:w="1030"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XSW</w:t>
                  </w:r>
                  <w:r>
                    <w:rPr>
                      <w:rFonts w:hint="eastAsia"/>
                    </w:rPr>
                    <w:t>-</w:t>
                  </w:r>
                  <w:r>
                    <w:rPr>
                      <w:rFonts w:hint="eastAsia"/>
                      <w:lang w:val="en-US" w:eastAsia="zh-CN"/>
                    </w:rPr>
                    <w:t>180</w:t>
                  </w:r>
                </w:p>
              </w:tc>
              <w:tc>
                <w:tcPr>
                  <w:tcW w:w="952" w:type="pct"/>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校准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lang w:val="en-US" w:eastAsia="zh-CN"/>
                    </w:rPr>
                  </w:pPr>
                  <w:r>
                    <w:rPr>
                      <w:rFonts w:hint="eastAsia"/>
                      <w:lang w:val="en-US" w:eastAsia="zh-CN"/>
                    </w:rPr>
                    <w:t>2</w:t>
                  </w:r>
                </w:p>
              </w:tc>
              <w:tc>
                <w:tcPr>
                  <w:tcW w:w="1468"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红外测油仪</w:t>
                  </w:r>
                </w:p>
              </w:tc>
              <w:tc>
                <w:tcPr>
                  <w:tcW w:w="1173"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MAI-50G/MO11601014</w:t>
                  </w:r>
                </w:p>
              </w:tc>
              <w:tc>
                <w:tcPr>
                  <w:tcW w:w="1030"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XSW-012</w:t>
                  </w:r>
                </w:p>
              </w:tc>
              <w:tc>
                <w:tcPr>
                  <w:tcW w:w="952"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校准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lang w:val="en-US" w:eastAsia="zh-CN"/>
                    </w:rPr>
                  </w:pPr>
                  <w:r>
                    <w:rPr>
                      <w:rFonts w:hint="eastAsia"/>
                      <w:lang w:val="en-US" w:eastAsia="zh-CN"/>
                    </w:rPr>
                    <w:t>3</w:t>
                  </w:r>
                </w:p>
              </w:tc>
              <w:tc>
                <w:tcPr>
                  <w:tcW w:w="1468"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噪声统计分析仪</w:t>
                  </w:r>
                </w:p>
              </w:tc>
              <w:tc>
                <w:tcPr>
                  <w:tcW w:w="1173"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AWA5688型</w:t>
                  </w:r>
                </w:p>
              </w:tc>
              <w:tc>
                <w:tcPr>
                  <w:tcW w:w="1030"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XSW-233</w:t>
                  </w:r>
                </w:p>
              </w:tc>
              <w:tc>
                <w:tcPr>
                  <w:tcW w:w="952"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校准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375"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lang w:val="en-US" w:eastAsia="zh-CN"/>
                    </w:rPr>
                  </w:pPr>
                  <w:r>
                    <w:rPr>
                      <w:rFonts w:hint="eastAsia"/>
                      <w:lang w:val="en-US" w:eastAsia="zh-CN"/>
                    </w:rPr>
                    <w:t>4</w:t>
                  </w:r>
                </w:p>
              </w:tc>
              <w:tc>
                <w:tcPr>
                  <w:tcW w:w="1468" w:type="pct"/>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lang w:val="en-US" w:eastAsia="zh-CN"/>
                    </w:rPr>
                  </w:pPr>
                  <w:r>
                    <w:rPr>
                      <w:rFonts w:hint="eastAsia"/>
                      <w:lang w:val="en-US" w:eastAsia="zh-CN"/>
                    </w:rPr>
                    <w:t>噪声统计分析仪</w:t>
                  </w:r>
                </w:p>
              </w:tc>
              <w:tc>
                <w:tcPr>
                  <w:tcW w:w="2285" w:type="dxa"/>
                  <w:vAlign w:val="center"/>
                </w:tcPr>
                <w:p>
                  <w:pPr>
                    <w:pageBreakBefore w:val="0"/>
                    <w:widowControl w:val="0"/>
                    <w:kinsoku/>
                    <w:wordWrap/>
                    <w:overflowPunct/>
                    <w:topLinePunct w:val="0"/>
                    <w:autoSpaceDE/>
                    <w:autoSpaceDN/>
                    <w:bidi w:val="0"/>
                    <w:adjustRightInd/>
                    <w:snapToGrid/>
                    <w:ind w:right="0" w:rightChars="0"/>
                    <w:jc w:val="center"/>
                    <w:textAlignment w:val="auto"/>
                    <w:rPr>
                      <w:rFonts w:hint="eastAsia"/>
                    </w:rPr>
                  </w:pPr>
                  <w:r>
                    <w:rPr>
                      <w:rFonts w:hint="eastAsia"/>
                      <w:lang w:val="en-US" w:eastAsia="zh-CN"/>
                    </w:rPr>
                    <w:t>AWA5688型</w:t>
                  </w:r>
                </w:p>
              </w:tc>
              <w:tc>
                <w:tcPr>
                  <w:tcW w:w="1980" w:type="dxa"/>
                  <w:vAlign w:val="center"/>
                </w:tcPr>
                <w:p>
                  <w:pPr>
                    <w:pageBreakBefore w:val="0"/>
                    <w:widowControl w:val="0"/>
                    <w:kinsoku/>
                    <w:wordWrap/>
                    <w:overflowPunct/>
                    <w:topLinePunct w:val="0"/>
                    <w:autoSpaceDE/>
                    <w:autoSpaceDN/>
                    <w:bidi w:val="0"/>
                    <w:adjustRightInd/>
                    <w:snapToGrid/>
                    <w:ind w:right="0" w:rightChars="0"/>
                    <w:jc w:val="center"/>
                    <w:textAlignment w:val="auto"/>
                    <w:rPr>
                      <w:rFonts w:hint="default"/>
                      <w:lang w:val="en-US" w:eastAsia="zh-CN"/>
                    </w:rPr>
                  </w:pPr>
                  <w:r>
                    <w:rPr>
                      <w:rFonts w:hint="eastAsia"/>
                      <w:lang w:val="en-US" w:eastAsia="zh-CN"/>
                    </w:rPr>
                    <w:t>XSW-100</w:t>
                  </w:r>
                </w:p>
              </w:tc>
              <w:tc>
                <w:tcPr>
                  <w:tcW w:w="952" w:type="pct"/>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校准</w:t>
                  </w:r>
                </w:p>
              </w:tc>
            </w:tr>
          </w:tbl>
          <w:p>
            <w:pPr>
              <w:pageBreakBefore w:val="0"/>
              <w:widowControl w:val="0"/>
              <w:kinsoku/>
              <w:wordWrap/>
              <w:overflowPunct/>
              <w:topLinePunct w:val="0"/>
              <w:autoSpaceDE/>
              <w:autoSpaceDN/>
              <w:bidi w:val="0"/>
              <w:adjustRightInd/>
              <w:snapToGrid/>
              <w:spacing w:line="360" w:lineRule="auto"/>
              <w:ind w:right="0"/>
              <w:textAlignment w:val="auto"/>
            </w:pPr>
            <w:r>
              <w:rPr>
                <w:rFonts w:hint="eastAsia"/>
              </w:rPr>
              <w:t>8.</w:t>
            </w:r>
            <w:r>
              <w:rPr>
                <w:rFonts w:hint="eastAsia"/>
                <w:lang w:val="en-US" w:eastAsia="zh-CN"/>
              </w:rPr>
              <w:t>3</w:t>
            </w:r>
            <w:r>
              <w:rPr>
                <w:rFonts w:hint="eastAsia"/>
              </w:rPr>
              <w:t xml:space="preserve"> 噪声</w:t>
            </w:r>
            <w:r>
              <w:t>监测内容</w:t>
            </w:r>
          </w:p>
          <w:p>
            <w:pPr>
              <w:pageBreakBefore w:val="0"/>
              <w:widowControl w:val="0"/>
              <w:kinsoku/>
              <w:wordWrap/>
              <w:overflowPunct/>
              <w:topLinePunct w:val="0"/>
              <w:autoSpaceDE/>
              <w:autoSpaceDN/>
              <w:bidi w:val="0"/>
              <w:adjustRightInd/>
              <w:snapToGrid/>
              <w:ind w:right="0"/>
              <w:jc w:val="center"/>
              <w:textAlignment w:val="auto"/>
            </w:pPr>
            <w:r>
              <w:t>表</w:t>
            </w:r>
            <w:r>
              <w:rPr>
                <w:rFonts w:hint="eastAsia"/>
              </w:rPr>
              <w:t>8.</w:t>
            </w:r>
            <w:r>
              <w:rPr>
                <w:rFonts w:hint="eastAsia"/>
                <w:lang w:val="en-US" w:eastAsia="zh-CN"/>
              </w:rPr>
              <w:t>3</w:t>
            </w:r>
            <w:r>
              <w:t>厂界噪声</w:t>
            </w:r>
            <w:r>
              <w:rPr>
                <w:rFonts w:hint="eastAsia"/>
              </w:rPr>
              <w:t>监测</w:t>
            </w:r>
            <w:r>
              <w:t>内容及频次</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1126"/>
              <w:gridCol w:w="1787"/>
              <w:gridCol w:w="2510"/>
              <w:gridCol w:w="2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56"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监测点位</w:t>
                  </w:r>
                </w:p>
              </w:tc>
              <w:tc>
                <w:tcPr>
                  <w:tcW w:w="584"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监测编号</w:t>
                  </w:r>
                </w:p>
              </w:tc>
              <w:tc>
                <w:tcPr>
                  <w:tcW w:w="927"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监测因子</w:t>
                  </w:r>
                </w:p>
              </w:tc>
              <w:tc>
                <w:tcPr>
                  <w:tcW w:w="1302"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监测频次</w:t>
                  </w:r>
                </w:p>
              </w:tc>
              <w:tc>
                <w:tcPr>
                  <w:tcW w:w="1429" w:type="pct"/>
                  <w:vAlign w:val="center"/>
                </w:tcPr>
                <w:p>
                  <w:pPr>
                    <w:pageBreakBefore w:val="0"/>
                    <w:widowControl w:val="0"/>
                    <w:kinsoku/>
                    <w:wordWrap/>
                    <w:overflowPunct/>
                    <w:topLinePunct w:val="0"/>
                    <w:autoSpaceDE/>
                    <w:autoSpaceDN/>
                    <w:bidi w:val="0"/>
                    <w:adjustRightInd/>
                    <w:snapToGrid/>
                    <w:ind w:right="0"/>
                    <w:jc w:val="center"/>
                    <w:textAlignment w:val="auto"/>
                  </w:pPr>
                  <w:r>
                    <w:t>监测方法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6"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F02、F03、S08、S11</w:t>
                  </w:r>
                  <w:r>
                    <w:rPr>
                      <w:rFonts w:hint="eastAsia"/>
                    </w:rPr>
                    <w:t>东、南、西、北厂界</w:t>
                  </w:r>
                </w:p>
              </w:tc>
              <w:tc>
                <w:tcPr>
                  <w:tcW w:w="584"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Z</w:t>
                  </w:r>
                  <w:r>
                    <w:rPr>
                      <w:rFonts w:hint="eastAsia"/>
                    </w:rPr>
                    <w:t>1~</w:t>
                  </w:r>
                  <w:r>
                    <w:rPr>
                      <w:rFonts w:hint="eastAsia"/>
                      <w:lang w:val="en-US" w:eastAsia="zh-CN"/>
                    </w:rPr>
                    <w:t>Z</w:t>
                  </w:r>
                  <w:r>
                    <w:t>4</w:t>
                  </w:r>
                </w:p>
              </w:tc>
              <w:tc>
                <w:tcPr>
                  <w:tcW w:w="927"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等效A声级（Leq）</w:t>
                  </w:r>
                </w:p>
              </w:tc>
              <w:tc>
                <w:tcPr>
                  <w:tcW w:w="1302"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监测2天，每天昼间监测1次。</w:t>
                  </w:r>
                </w:p>
              </w:tc>
              <w:tc>
                <w:tcPr>
                  <w:tcW w:w="1429"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56" w:type="pct"/>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备注</w:t>
                  </w:r>
                </w:p>
              </w:tc>
              <w:tc>
                <w:tcPr>
                  <w:tcW w:w="4243" w:type="pct"/>
                  <w:gridSpan w:val="4"/>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w:t>
                  </w:r>
                </w:p>
              </w:tc>
            </w:tr>
          </w:tbl>
          <w:p>
            <w:pPr>
              <w:pageBreakBefore w:val="0"/>
              <w:widowControl w:val="0"/>
              <w:kinsoku/>
              <w:wordWrap/>
              <w:overflowPunct/>
              <w:topLinePunct w:val="0"/>
              <w:autoSpaceDE/>
              <w:autoSpaceDN/>
              <w:bidi w:val="0"/>
              <w:adjustRightInd/>
              <w:snapToGrid/>
              <w:spacing w:line="360" w:lineRule="auto"/>
              <w:ind w:right="0" w:firstLine="420" w:firstLineChars="200"/>
              <w:textAlignment w:val="auto"/>
            </w:pPr>
            <w:r>
              <w:rPr>
                <w:rFonts w:hint="eastAsia"/>
              </w:rPr>
              <w:t>本项目噪声具体布设情况见下图8-1、8-2。</w:t>
            </w:r>
          </w:p>
          <w:p>
            <w:pPr>
              <w:pStyle w:val="2"/>
              <w:pageBreakBefore w:val="0"/>
              <w:widowControl w:val="0"/>
              <w:kinsoku/>
              <w:wordWrap/>
              <w:overflowPunct/>
              <w:topLinePunct w:val="0"/>
              <w:autoSpaceDE/>
              <w:autoSpaceDN/>
              <w:bidi w:val="0"/>
              <w:adjustRightInd/>
              <w:snapToGrid/>
              <w:spacing w:before="0" w:after="0"/>
              <w:ind w:right="0"/>
              <w:jc w:val="center"/>
              <w:textAlignment w:val="auto"/>
            </w:pPr>
            <w:r>
              <w:drawing>
                <wp:inline distT="0" distB="0" distL="114300" distR="114300">
                  <wp:extent cx="5418455" cy="4752975"/>
                  <wp:effectExtent l="0" t="0" r="1079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5"/>
                          <a:stretch>
                            <a:fillRect/>
                          </a:stretch>
                        </pic:blipFill>
                        <pic:spPr>
                          <a:xfrm>
                            <a:off x="0" y="0"/>
                            <a:ext cx="5418455" cy="4752975"/>
                          </a:xfrm>
                          <a:prstGeom prst="rect">
                            <a:avLst/>
                          </a:prstGeom>
                          <a:noFill/>
                          <a:ln>
                            <a:noFill/>
                          </a:ln>
                        </pic:spPr>
                      </pic:pic>
                    </a:graphicData>
                  </a:graphic>
                </wp:inline>
              </w:drawing>
            </w:r>
          </w:p>
          <w:p>
            <w:pPr>
              <w:pStyle w:val="32"/>
              <w:pageBreakBefore w:val="0"/>
              <w:widowControl w:val="0"/>
              <w:kinsoku/>
              <w:wordWrap/>
              <w:overflowPunct/>
              <w:topLinePunct w:val="0"/>
              <w:autoSpaceDE/>
              <w:autoSpaceDN/>
              <w:bidi w:val="0"/>
              <w:adjustRightInd/>
              <w:snapToGrid/>
              <w:ind w:right="0" w:firstLine="480"/>
              <w:jc w:val="center"/>
              <w:textAlignment w:val="auto"/>
            </w:pPr>
            <w:r>
              <w:rPr>
                <w:rFonts w:hint="eastAsia"/>
              </w:rPr>
              <w:t>图8-1、</w:t>
            </w:r>
            <w:r>
              <w:rPr>
                <w:rFonts w:hint="eastAsia"/>
                <w:lang w:val="en-US" w:eastAsia="zh-CN"/>
              </w:rPr>
              <w:t>车辐山</w:t>
            </w:r>
            <w:r>
              <w:rPr>
                <w:rFonts w:hint="eastAsia"/>
              </w:rPr>
              <w:t>噪声监测点图</w:t>
            </w: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ageBreakBefore w:val="0"/>
              <w:widowControl w:val="0"/>
              <w:kinsoku/>
              <w:wordWrap/>
              <w:overflowPunct/>
              <w:topLinePunct w:val="0"/>
              <w:autoSpaceDE/>
              <w:autoSpaceDN/>
              <w:bidi w:val="0"/>
              <w:adjustRightInd/>
              <w:snapToGrid/>
              <w:ind w:right="0"/>
              <w:jc w:val="center"/>
              <w:textAlignment w:val="auto"/>
            </w:pPr>
            <w:r>
              <w:drawing>
                <wp:inline distT="0" distB="0" distL="114300" distR="114300">
                  <wp:extent cx="5943600" cy="6648450"/>
                  <wp:effectExtent l="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5943600" cy="6648450"/>
                          </a:xfrm>
                          <a:prstGeom prst="rect">
                            <a:avLst/>
                          </a:prstGeom>
                          <a:noFill/>
                          <a:ln>
                            <a:noFill/>
                          </a:ln>
                        </pic:spPr>
                      </pic:pic>
                    </a:graphicData>
                  </a:graphic>
                </wp:inline>
              </w:drawing>
            </w:r>
          </w:p>
          <w:p>
            <w:pPr>
              <w:pStyle w:val="32"/>
              <w:pageBreakBefore w:val="0"/>
              <w:widowControl w:val="0"/>
              <w:kinsoku/>
              <w:wordWrap/>
              <w:overflowPunct/>
              <w:topLinePunct w:val="0"/>
              <w:autoSpaceDE/>
              <w:autoSpaceDN/>
              <w:bidi w:val="0"/>
              <w:adjustRightInd/>
              <w:snapToGrid/>
              <w:ind w:right="0" w:firstLine="480"/>
              <w:jc w:val="center"/>
              <w:textAlignment w:val="auto"/>
            </w:pPr>
            <w:r>
              <w:rPr>
                <w:rFonts w:hint="eastAsia"/>
              </w:rPr>
              <w:t>图8-2、</w:t>
            </w:r>
            <w:r>
              <w:rPr>
                <w:rFonts w:hint="eastAsia"/>
                <w:lang w:val="en-US" w:eastAsia="zh-CN"/>
              </w:rPr>
              <w:t>戴庄</w:t>
            </w:r>
            <w:r>
              <w:rPr>
                <w:rFonts w:hint="eastAsia"/>
              </w:rPr>
              <w:t>噪声监测点图</w:t>
            </w:r>
          </w:p>
          <w:p>
            <w:pPr>
              <w:pageBreakBefore w:val="0"/>
              <w:widowControl w:val="0"/>
              <w:kinsoku/>
              <w:wordWrap/>
              <w:overflowPunct/>
              <w:topLinePunct w:val="0"/>
              <w:autoSpaceDE/>
              <w:autoSpaceDN/>
              <w:bidi w:val="0"/>
              <w:adjustRightInd/>
              <w:snapToGrid/>
              <w:spacing w:line="360" w:lineRule="auto"/>
              <w:ind w:right="0"/>
              <w:textAlignment w:val="auto"/>
            </w:pPr>
            <w:r>
              <w:rPr>
                <w:rFonts w:hint="eastAsia"/>
              </w:rPr>
              <w:t>8.</w:t>
            </w:r>
            <w:r>
              <w:rPr>
                <w:rFonts w:hint="eastAsia"/>
                <w:lang w:val="en-US" w:eastAsia="zh-CN"/>
              </w:rPr>
              <w:t>4</w:t>
            </w:r>
            <w:r>
              <w:rPr>
                <w:rFonts w:hint="eastAsia"/>
              </w:rPr>
              <w:t xml:space="preserve"> </w:t>
            </w:r>
            <w:r>
              <w:t>验收监测期间生产工况</w:t>
            </w:r>
          </w:p>
          <w:p>
            <w:pPr>
              <w:pageBreakBefore w:val="0"/>
              <w:widowControl w:val="0"/>
              <w:kinsoku/>
              <w:wordWrap/>
              <w:overflowPunct/>
              <w:topLinePunct w:val="0"/>
              <w:autoSpaceDE/>
              <w:autoSpaceDN/>
              <w:bidi w:val="0"/>
              <w:adjustRightInd/>
              <w:snapToGrid/>
              <w:spacing w:line="416" w:lineRule="auto"/>
              <w:ind w:right="0" w:firstLine="420" w:firstLineChars="200"/>
              <w:textAlignment w:val="auto"/>
            </w:pPr>
            <w:r>
              <w:rPr>
                <w:rFonts w:hint="eastAsia"/>
              </w:rPr>
              <w:t>2021年</w:t>
            </w:r>
            <w:r>
              <w:rPr>
                <w:rFonts w:hint="eastAsia"/>
                <w:lang w:val="en-US" w:eastAsia="zh-CN"/>
              </w:rPr>
              <w:t>4</w:t>
            </w:r>
            <w:r>
              <w:rPr>
                <w:rFonts w:hint="eastAsia"/>
              </w:rPr>
              <w:t>月2</w:t>
            </w:r>
            <w:r>
              <w:rPr>
                <w:rFonts w:hint="eastAsia"/>
                <w:lang w:val="en-US" w:eastAsia="zh-CN"/>
              </w:rPr>
              <w:t>5</w:t>
            </w:r>
            <w:r>
              <w:rPr>
                <w:rFonts w:hint="eastAsia"/>
              </w:rPr>
              <w:t>日</w:t>
            </w:r>
            <w:r>
              <w:rPr>
                <w:rFonts w:hint="eastAsia"/>
                <w:lang w:eastAsia="zh-CN"/>
              </w:rPr>
              <w:t>－</w:t>
            </w:r>
            <w:r>
              <w:rPr>
                <w:rFonts w:hint="eastAsia"/>
                <w:lang w:val="en-US" w:eastAsia="zh-CN"/>
              </w:rPr>
              <w:t>6月7</w:t>
            </w:r>
            <w:r>
              <w:rPr>
                <w:rFonts w:hint="eastAsia"/>
              </w:rPr>
              <w:t>日验收期间，</w:t>
            </w:r>
            <w:r>
              <w:rPr>
                <w:rFonts w:hint="eastAsia"/>
                <w:lang w:eastAsia="zh-CN"/>
              </w:rPr>
              <w:t>邳州市车辐山戴庄风电场项目工程</w:t>
            </w:r>
            <w:r>
              <w:rPr>
                <w:rFonts w:hint="eastAsia"/>
              </w:rPr>
              <w:t>运行正常，环保设施运行正常，符合验收监测工况要求。</w:t>
            </w:r>
          </w:p>
          <w:p>
            <w:pPr>
              <w:pageBreakBefore w:val="0"/>
              <w:widowControl w:val="0"/>
              <w:kinsoku/>
              <w:wordWrap/>
              <w:overflowPunct/>
              <w:topLinePunct w:val="0"/>
              <w:autoSpaceDE/>
              <w:autoSpaceDN/>
              <w:bidi w:val="0"/>
              <w:adjustRightInd/>
              <w:snapToGrid/>
              <w:spacing w:line="360" w:lineRule="auto"/>
              <w:ind w:right="0"/>
              <w:textAlignment w:val="auto"/>
            </w:pPr>
            <w:r>
              <w:rPr>
                <w:rFonts w:hint="eastAsia"/>
              </w:rPr>
              <w:t>8.</w:t>
            </w:r>
            <w:r>
              <w:rPr>
                <w:rFonts w:hint="eastAsia"/>
                <w:lang w:val="en-US" w:eastAsia="zh-CN"/>
              </w:rPr>
              <w:t>4</w:t>
            </w:r>
            <w:r>
              <w:rPr>
                <w:rFonts w:hint="eastAsia"/>
              </w:rPr>
              <w:t xml:space="preserve"> </w:t>
            </w:r>
            <w:r>
              <w:t>验收监测</w:t>
            </w:r>
            <w:r>
              <w:rPr>
                <w:rFonts w:hint="eastAsia"/>
              </w:rPr>
              <w:t>结果</w:t>
            </w:r>
          </w:p>
          <w:p>
            <w:pPr>
              <w:pageBreakBefore w:val="0"/>
              <w:widowControl w:val="0"/>
              <w:kinsoku/>
              <w:wordWrap/>
              <w:overflowPunct/>
              <w:topLinePunct w:val="0"/>
              <w:autoSpaceDE/>
              <w:autoSpaceDN/>
              <w:bidi w:val="0"/>
              <w:adjustRightInd/>
              <w:snapToGrid/>
              <w:spacing w:line="360" w:lineRule="auto"/>
              <w:ind w:right="0"/>
              <w:jc w:val="left"/>
              <w:textAlignment w:val="auto"/>
              <w:rPr>
                <w:rFonts w:hint="eastAsia"/>
              </w:rPr>
            </w:pPr>
            <w:r>
              <w:rPr>
                <w:rFonts w:hint="eastAsia"/>
              </w:rPr>
              <w:t>8.</w:t>
            </w:r>
            <w:r>
              <w:rPr>
                <w:rFonts w:hint="eastAsia"/>
                <w:lang w:val="en-US" w:eastAsia="zh-CN"/>
              </w:rPr>
              <w:t>4</w:t>
            </w:r>
            <w:r>
              <w:rPr>
                <w:rFonts w:hint="eastAsia"/>
              </w:rPr>
              <w:t>.1 噪声监测结果</w:t>
            </w:r>
          </w:p>
          <w:p>
            <w:pPr>
              <w:pStyle w:val="32"/>
              <w:pageBreakBefore w:val="0"/>
              <w:widowControl w:val="0"/>
              <w:kinsoku/>
              <w:wordWrap/>
              <w:overflowPunct/>
              <w:topLinePunct w:val="0"/>
              <w:autoSpaceDE/>
              <w:autoSpaceDN/>
              <w:bidi w:val="0"/>
              <w:adjustRightInd/>
              <w:snapToGrid/>
              <w:ind w:right="0"/>
              <w:textAlignment w:val="auto"/>
            </w:pPr>
          </w:p>
          <w:p>
            <w:pPr>
              <w:pStyle w:val="32"/>
              <w:pageBreakBefore w:val="0"/>
              <w:widowControl w:val="0"/>
              <w:kinsoku/>
              <w:wordWrap/>
              <w:overflowPunct/>
              <w:topLinePunct w:val="0"/>
              <w:autoSpaceDE/>
              <w:autoSpaceDN/>
              <w:bidi w:val="0"/>
              <w:adjustRightInd/>
              <w:snapToGrid/>
              <w:ind w:right="0"/>
              <w:textAlignment w:val="auto"/>
            </w:pPr>
          </w:p>
          <w:p>
            <w:pPr>
              <w:pageBreakBefore w:val="0"/>
              <w:widowControl w:val="0"/>
              <w:kinsoku/>
              <w:wordWrap/>
              <w:overflowPunct/>
              <w:topLinePunct w:val="0"/>
              <w:autoSpaceDE/>
              <w:autoSpaceDN/>
              <w:bidi w:val="0"/>
              <w:adjustRightInd/>
              <w:snapToGrid/>
              <w:ind w:right="0"/>
              <w:jc w:val="center"/>
              <w:textAlignment w:val="auto"/>
            </w:pPr>
          </w:p>
          <w:p>
            <w:pPr>
              <w:pageBreakBefore w:val="0"/>
              <w:widowControl w:val="0"/>
              <w:kinsoku/>
              <w:wordWrap/>
              <w:overflowPunct/>
              <w:topLinePunct w:val="0"/>
              <w:autoSpaceDE/>
              <w:autoSpaceDN/>
              <w:bidi w:val="0"/>
              <w:adjustRightInd/>
              <w:snapToGrid/>
              <w:ind w:right="0"/>
              <w:jc w:val="center"/>
              <w:textAlignment w:val="auto"/>
            </w:pPr>
          </w:p>
          <w:p>
            <w:pPr>
              <w:pageBreakBefore w:val="0"/>
              <w:widowControl w:val="0"/>
              <w:kinsoku/>
              <w:wordWrap/>
              <w:overflowPunct/>
              <w:topLinePunct w:val="0"/>
              <w:autoSpaceDE/>
              <w:autoSpaceDN/>
              <w:bidi w:val="0"/>
              <w:adjustRightInd/>
              <w:snapToGrid/>
              <w:ind w:right="0"/>
              <w:jc w:val="center"/>
              <w:textAlignment w:val="auto"/>
            </w:pPr>
            <w:r>
              <w:t>表</w:t>
            </w:r>
            <w:r>
              <w:rPr>
                <w:rFonts w:hint="eastAsia"/>
              </w:rPr>
              <w:t>8.</w:t>
            </w:r>
            <w:r>
              <w:rPr>
                <w:rFonts w:hint="eastAsia"/>
                <w:lang w:val="en-US" w:eastAsia="zh-CN"/>
              </w:rPr>
              <w:t>4车辐山</w:t>
            </w:r>
            <w:r>
              <w:t>噪声监测结果</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977"/>
              <w:gridCol w:w="1276"/>
              <w:gridCol w:w="1376"/>
              <w:gridCol w:w="1245"/>
              <w:gridCol w:w="1245"/>
              <w:gridCol w:w="1259"/>
              <w:gridCol w:w="10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73" w:type="dxa"/>
                  <w:gridSpan w:val="2"/>
                  <w:tcBorders>
                    <w:top w:val="single" w:color="auto" w:sz="12" w:space="0"/>
                    <w:bottom w:val="single" w:color="auto" w:sz="6" w:space="0"/>
                    <w:tl2br w:val="single" w:color="auto" w:sz="6" w:space="0"/>
                  </w:tcBorders>
                  <w:vAlign w:val="center"/>
                </w:tcPr>
                <w:p>
                  <w:pPr>
                    <w:pageBreakBefore w:val="0"/>
                    <w:widowControl w:val="0"/>
                    <w:kinsoku/>
                    <w:wordWrap/>
                    <w:overflowPunct/>
                    <w:topLinePunct w:val="0"/>
                    <w:autoSpaceDE/>
                    <w:autoSpaceDN/>
                    <w:bidi w:val="0"/>
                    <w:adjustRightInd/>
                    <w:snapToGrid/>
                    <w:ind w:right="0"/>
                    <w:jc w:val="right"/>
                    <w:textAlignment w:val="auto"/>
                  </w:pPr>
                  <w:r>
                    <w:rPr>
                      <w:rFonts w:hint="eastAsia"/>
                    </w:rPr>
                    <w:t>点位</w:t>
                  </w:r>
                </w:p>
                <w:p>
                  <w:pPr>
                    <w:pageBreakBefore w:val="0"/>
                    <w:widowControl w:val="0"/>
                    <w:kinsoku/>
                    <w:wordWrap/>
                    <w:overflowPunct/>
                    <w:topLinePunct w:val="0"/>
                    <w:autoSpaceDE/>
                    <w:autoSpaceDN/>
                    <w:bidi w:val="0"/>
                    <w:adjustRightInd/>
                    <w:snapToGrid/>
                    <w:ind w:right="0"/>
                    <w:jc w:val="left"/>
                    <w:textAlignment w:val="auto"/>
                  </w:pPr>
                  <w:r>
                    <w:rPr>
                      <w:rFonts w:hint="eastAsia"/>
                    </w:rPr>
                    <w:t>监测时间</w:t>
                  </w:r>
                </w:p>
                <w:p>
                  <w:pPr>
                    <w:pageBreakBefore w:val="0"/>
                    <w:widowControl w:val="0"/>
                    <w:kinsoku/>
                    <w:wordWrap/>
                    <w:overflowPunct/>
                    <w:topLinePunct w:val="0"/>
                    <w:autoSpaceDE/>
                    <w:autoSpaceDN/>
                    <w:bidi w:val="0"/>
                    <w:adjustRightInd/>
                    <w:snapToGrid/>
                    <w:ind w:right="0"/>
                    <w:textAlignment w:val="auto"/>
                  </w:pP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lang w:val="en-US" w:eastAsia="zh-CN"/>
                    </w:rPr>
                    <w:t>北</w:t>
                  </w:r>
                  <w:r>
                    <w:rPr>
                      <w:rFonts w:hint="eastAsia"/>
                    </w:rPr>
                    <w:t>厂界</w:t>
                  </w:r>
                </w:p>
                <w:p>
                  <w:pPr>
                    <w:pageBreakBefore w:val="0"/>
                    <w:widowControl w:val="0"/>
                    <w:kinsoku/>
                    <w:wordWrap/>
                    <w:overflowPunct/>
                    <w:topLinePunct w:val="0"/>
                    <w:autoSpaceDE/>
                    <w:autoSpaceDN/>
                    <w:bidi w:val="0"/>
                    <w:adjustRightInd/>
                    <w:snapToGrid/>
                    <w:ind w:right="0"/>
                    <w:jc w:val="center"/>
                    <w:textAlignment w:val="auto"/>
                  </w:pPr>
                  <w:r>
                    <w:rPr>
                      <w:rFonts w:hint="eastAsia"/>
                      <w:lang w:eastAsia="zh-CN"/>
                    </w:rPr>
                    <w:t>（</w:t>
                  </w:r>
                  <w:r>
                    <w:rPr>
                      <w:rFonts w:hint="eastAsia"/>
                      <w:lang w:val="en-US" w:eastAsia="zh-CN"/>
                    </w:rPr>
                    <w:t>Z</w:t>
                  </w:r>
                  <w:r>
                    <w:rPr>
                      <w:rFonts w:hint="eastAsia"/>
                    </w:rPr>
                    <w:t>1）</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西</w:t>
                  </w:r>
                  <w:r>
                    <w:rPr>
                      <w:rFonts w:hint="eastAsia"/>
                    </w:rPr>
                    <w:t>厂界</w:t>
                  </w:r>
                </w:p>
                <w:p>
                  <w:pPr>
                    <w:pageBreakBefore w:val="0"/>
                    <w:widowControl w:val="0"/>
                    <w:kinsoku/>
                    <w:wordWrap/>
                    <w:overflowPunct/>
                    <w:topLinePunct w:val="0"/>
                    <w:autoSpaceDE/>
                    <w:autoSpaceDN/>
                    <w:bidi w:val="0"/>
                    <w:adjustRightInd/>
                    <w:snapToGrid/>
                    <w:ind w:right="0"/>
                    <w:jc w:val="center"/>
                    <w:textAlignment w:val="auto"/>
                  </w:pPr>
                  <w:r>
                    <w:rPr>
                      <w:rFonts w:hint="eastAsia"/>
                    </w:rPr>
                    <w:t>（</w:t>
                  </w:r>
                  <w:r>
                    <w:rPr>
                      <w:rFonts w:hint="eastAsia"/>
                      <w:lang w:val="en-US" w:eastAsia="zh-CN"/>
                    </w:rPr>
                    <w:t>Z</w:t>
                  </w:r>
                  <w:r>
                    <w:t>2</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南</w:t>
                  </w:r>
                  <w:r>
                    <w:rPr>
                      <w:rFonts w:hint="eastAsia"/>
                    </w:rPr>
                    <w:t>厂界（</w:t>
                  </w:r>
                  <w:r>
                    <w:rPr>
                      <w:rFonts w:hint="eastAsia"/>
                      <w:lang w:val="en-US" w:eastAsia="zh-CN"/>
                    </w:rPr>
                    <w:t>Z</w:t>
                  </w:r>
                  <w:r>
                    <w:t>3</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东</w:t>
                  </w:r>
                  <w:r>
                    <w:rPr>
                      <w:rFonts w:hint="eastAsia"/>
                    </w:rPr>
                    <w:t>厂界（</w:t>
                  </w:r>
                  <w:r>
                    <w:rPr>
                      <w:rFonts w:hint="eastAsia"/>
                      <w:lang w:val="en-US" w:eastAsia="zh-CN"/>
                    </w:rPr>
                    <w:t>Z</w:t>
                  </w:r>
                  <w:r>
                    <w:t>4</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1类区标准dB(A)</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restart"/>
                  <w:tcBorders>
                    <w:top w:val="single" w:color="auto" w:sz="6" w:space="0"/>
                  </w:tcBorders>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rPr>
                    <w:t>2</w:t>
                  </w:r>
                  <w:r>
                    <w:rPr>
                      <w:rFonts w:hint="eastAsia"/>
                      <w:lang w:val="en-US" w:eastAsia="zh-CN"/>
                    </w:rPr>
                    <w:t>022-4-25</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（F02）</w:t>
                  </w:r>
                </w:p>
              </w:tc>
              <w:tc>
                <w:tcPr>
                  <w:tcW w:w="977" w:type="dxa"/>
                  <w:tcBorders>
                    <w:top w:val="single" w:color="auto" w:sz="6" w:space="0"/>
                  </w:tcBorders>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昼间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52.5</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51.4</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50.8</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51.5</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55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夜间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41.2</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41.9</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43.0</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43.7</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45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2022-4-26</w:t>
                  </w:r>
                </w:p>
                <w:p>
                  <w:pPr>
                    <w:pStyle w:val="32"/>
                    <w:pageBreakBefore w:val="0"/>
                    <w:widowControl w:val="0"/>
                    <w:kinsoku/>
                    <w:wordWrap/>
                    <w:overflowPunct/>
                    <w:topLinePunct w:val="0"/>
                    <w:autoSpaceDE/>
                    <w:autoSpaceDN/>
                    <w:bidi w:val="0"/>
                    <w:adjustRightInd/>
                    <w:snapToGrid/>
                    <w:ind w:left="0" w:leftChars="0" w:right="0" w:firstLine="210" w:firstLineChars="100"/>
                    <w:jc w:val="both"/>
                    <w:textAlignment w:val="auto"/>
                    <w:rPr>
                      <w:rFonts w:hint="default"/>
                      <w:lang w:val="en-US" w:eastAsia="zh-CN"/>
                    </w:rPr>
                  </w:pPr>
                  <w:r>
                    <w:rPr>
                      <w:rFonts w:hint="eastAsia"/>
                      <w:lang w:val="en-US" w:eastAsia="zh-CN"/>
                    </w:rPr>
                    <w:t>（F02）</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昼间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53.7</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52.8</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52.5</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rPr>
                  </w:pPr>
                  <w:r>
                    <w:rPr>
                      <w:rFonts w:hint="eastAsia"/>
                      <w:lang w:val="en-US" w:eastAsia="zh-CN"/>
                    </w:rPr>
                    <w:t>51.3</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55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夜间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41.5</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42.0</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41.7</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42.5</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rPr>
                    <w:t>2</w:t>
                  </w:r>
                  <w:r>
                    <w:rPr>
                      <w:rFonts w:hint="eastAsia"/>
                      <w:lang w:val="en-US" w:eastAsia="zh-CN"/>
                    </w:rPr>
                    <w:t>022-4-25</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（F03）</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昼间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51.5</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52.5</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54.7</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lang w:val="en-US" w:eastAsia="zh-CN"/>
                    </w:rPr>
                    <w:t>52.6</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55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continue"/>
                  <w:vAlign w:val="center"/>
                </w:tcPr>
                <w:p>
                  <w:pPr>
                    <w:pStyle w:val="32"/>
                    <w:pageBreakBefore w:val="0"/>
                    <w:widowControl w:val="0"/>
                    <w:kinsoku/>
                    <w:wordWrap/>
                    <w:overflowPunct/>
                    <w:topLinePunct w:val="0"/>
                    <w:autoSpaceDE/>
                    <w:autoSpaceDN/>
                    <w:bidi w:val="0"/>
                    <w:adjustRightInd/>
                    <w:snapToGrid/>
                    <w:ind w:left="0" w:leftChars="0" w:right="0" w:firstLine="210" w:firstLineChars="100"/>
                    <w:jc w:val="both"/>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夜间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40.8</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41.4</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41.3</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41</w:t>
                  </w:r>
                  <w:r>
                    <w:rPr>
                      <w:rFonts w:hint="eastAsia"/>
                      <w:lang w:val="en-US" w:eastAsia="zh-CN"/>
                    </w:rPr>
                    <w:t>.7</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rPr>
                    <w:t>2</w:t>
                  </w:r>
                  <w:r>
                    <w:rPr>
                      <w:rFonts w:hint="eastAsia"/>
                      <w:lang w:val="en-US" w:eastAsia="zh-CN"/>
                    </w:rPr>
                    <w:t>022-4-26</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（F03）</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昼间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51.7</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53.0</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51.7</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lang w:val="en-US" w:eastAsia="zh-CN"/>
                    </w:rPr>
                    <w:t>53.7</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55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96" w:type="dxa"/>
                  <w:vMerge w:val="continue"/>
                  <w:vAlign w:val="center"/>
                </w:tcPr>
                <w:p>
                  <w:pPr>
                    <w:pStyle w:val="32"/>
                    <w:pageBreakBefore w:val="0"/>
                    <w:widowControl w:val="0"/>
                    <w:kinsoku/>
                    <w:wordWrap/>
                    <w:overflowPunct/>
                    <w:topLinePunct w:val="0"/>
                    <w:autoSpaceDE/>
                    <w:autoSpaceDN/>
                    <w:bidi w:val="0"/>
                    <w:adjustRightInd/>
                    <w:snapToGrid/>
                    <w:ind w:left="0" w:leftChars="0" w:right="0" w:firstLine="210" w:firstLineChars="100"/>
                    <w:jc w:val="both"/>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夜间</w:t>
                  </w:r>
                </w:p>
              </w:tc>
              <w:tc>
                <w:tcPr>
                  <w:tcW w:w="12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41.5</w:t>
                  </w:r>
                </w:p>
              </w:tc>
              <w:tc>
                <w:tcPr>
                  <w:tcW w:w="1376"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41.9</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lang w:val="en-US" w:eastAsia="zh-CN"/>
                    </w:rPr>
                  </w:pPr>
                  <w:r>
                    <w:rPr>
                      <w:rFonts w:hint="eastAsia"/>
                      <w:lang w:val="en-US" w:eastAsia="zh-CN"/>
                    </w:rPr>
                    <w:t>43.3</w:t>
                  </w:r>
                </w:p>
              </w:tc>
              <w:tc>
                <w:tcPr>
                  <w:tcW w:w="124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lang w:val="en-US" w:eastAsia="zh-CN"/>
                    </w:rPr>
                    <w:t>44.4</w:t>
                  </w:r>
                </w:p>
              </w:tc>
              <w:tc>
                <w:tcPr>
                  <w:tcW w:w="1259"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45</w:t>
                  </w:r>
                </w:p>
              </w:tc>
              <w:tc>
                <w:tcPr>
                  <w:tcW w:w="1064"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73" w:type="dxa"/>
                  <w:gridSpan w:val="2"/>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气象参数</w:t>
                  </w:r>
                </w:p>
              </w:tc>
              <w:tc>
                <w:tcPr>
                  <w:tcW w:w="7465" w:type="dxa"/>
                  <w:gridSpan w:val="6"/>
                  <w:shd w:val="clear" w:color="auto" w:fill="auto"/>
                  <w:vAlign w:val="center"/>
                </w:tcPr>
                <w:p>
                  <w:pPr>
                    <w:pageBreakBefore w:val="0"/>
                    <w:widowControl w:val="0"/>
                    <w:kinsoku/>
                    <w:wordWrap/>
                    <w:overflowPunct/>
                    <w:topLinePunct w:val="0"/>
                    <w:autoSpaceDE/>
                    <w:autoSpaceDN/>
                    <w:bidi w:val="0"/>
                    <w:adjustRightInd/>
                    <w:snapToGrid/>
                    <w:ind w:right="0"/>
                    <w:jc w:val="left"/>
                    <w:textAlignment w:val="auto"/>
                    <w:rPr>
                      <w:rFonts w:hint="eastAsia"/>
                      <w:lang w:eastAsia="zh-CN"/>
                    </w:rPr>
                  </w:pPr>
                  <w:r>
                    <w:rPr>
                      <w:rFonts w:hint="eastAsia"/>
                    </w:rPr>
                    <w:t>202</w:t>
                  </w:r>
                  <w:r>
                    <w:rPr>
                      <w:rFonts w:hint="eastAsia"/>
                      <w:lang w:val="en-US" w:eastAsia="zh-CN"/>
                    </w:rPr>
                    <w:t>2</w:t>
                  </w:r>
                  <w:r>
                    <w:rPr>
                      <w:rFonts w:hint="eastAsia"/>
                    </w:rPr>
                    <w:t>年</w:t>
                  </w:r>
                  <w:r>
                    <w:rPr>
                      <w:rFonts w:hint="eastAsia"/>
                      <w:lang w:val="en-US" w:eastAsia="zh-CN"/>
                    </w:rPr>
                    <w:t>4</w:t>
                  </w:r>
                  <w:r>
                    <w:rPr>
                      <w:rFonts w:hint="eastAsia"/>
                    </w:rPr>
                    <w:t>月</w:t>
                  </w:r>
                  <w:r>
                    <w:rPr>
                      <w:rFonts w:hint="eastAsia"/>
                      <w:lang w:val="en-US" w:eastAsia="zh-CN"/>
                    </w:rPr>
                    <w:t>25</w:t>
                  </w:r>
                  <w:r>
                    <w:rPr>
                      <w:rFonts w:hint="eastAsia"/>
                    </w:rPr>
                    <w:t>日</w:t>
                  </w:r>
                  <w:r>
                    <w:t>：</w:t>
                  </w:r>
                  <w:r>
                    <w:rPr>
                      <w:rFonts w:hint="eastAsia"/>
                      <w:lang w:val="en-US" w:eastAsia="zh-CN"/>
                    </w:rPr>
                    <w:t>南</w:t>
                  </w:r>
                  <w:r>
                    <w:t>；风速：</w:t>
                  </w:r>
                  <w:r>
                    <w:rPr>
                      <w:rFonts w:hint="eastAsia"/>
                      <w:lang w:val="en-US" w:eastAsia="zh-CN"/>
                    </w:rPr>
                    <w:t>3.1</w:t>
                  </w:r>
                  <w:r>
                    <w:t>m/s；天气：</w:t>
                  </w:r>
                  <w:r>
                    <w:rPr>
                      <w:rFonts w:hint="eastAsia"/>
                    </w:rPr>
                    <w:t>晴</w:t>
                  </w:r>
                  <w:r>
                    <w:rPr>
                      <w:rFonts w:hint="eastAsia"/>
                      <w:lang w:eastAsia="zh-CN"/>
                    </w:rPr>
                    <w:t>。</w:t>
                  </w:r>
                </w:p>
                <w:p>
                  <w:pPr>
                    <w:pageBreakBefore w:val="0"/>
                    <w:widowControl w:val="0"/>
                    <w:kinsoku/>
                    <w:wordWrap/>
                    <w:overflowPunct/>
                    <w:topLinePunct w:val="0"/>
                    <w:autoSpaceDE/>
                    <w:autoSpaceDN/>
                    <w:bidi w:val="0"/>
                    <w:adjustRightInd/>
                    <w:snapToGrid/>
                    <w:ind w:right="0"/>
                    <w:jc w:val="left"/>
                    <w:textAlignment w:val="auto"/>
                  </w:pPr>
                  <w:r>
                    <w:rPr>
                      <w:rFonts w:hint="eastAsia"/>
                    </w:rPr>
                    <w:t>202</w:t>
                  </w:r>
                  <w:r>
                    <w:rPr>
                      <w:rFonts w:hint="eastAsia"/>
                      <w:lang w:val="en-US" w:eastAsia="zh-CN"/>
                    </w:rPr>
                    <w:t>2</w:t>
                  </w:r>
                  <w:r>
                    <w:rPr>
                      <w:rFonts w:hint="eastAsia"/>
                    </w:rPr>
                    <w:t>年</w:t>
                  </w:r>
                  <w:r>
                    <w:rPr>
                      <w:rFonts w:hint="eastAsia"/>
                      <w:lang w:val="en-US" w:eastAsia="zh-CN"/>
                    </w:rPr>
                    <w:t>4</w:t>
                  </w:r>
                  <w:r>
                    <w:rPr>
                      <w:rFonts w:hint="eastAsia"/>
                    </w:rPr>
                    <w:t>月</w:t>
                  </w:r>
                  <w:r>
                    <w:rPr>
                      <w:rFonts w:hint="eastAsia"/>
                      <w:lang w:val="en-US" w:eastAsia="zh-CN"/>
                    </w:rPr>
                    <w:t>26</w:t>
                  </w:r>
                  <w:r>
                    <w:rPr>
                      <w:rFonts w:hint="eastAsia"/>
                    </w:rPr>
                    <w:t>日</w:t>
                  </w:r>
                  <w:r>
                    <w:t>：</w:t>
                  </w:r>
                  <w:r>
                    <w:rPr>
                      <w:rFonts w:hint="eastAsia"/>
                      <w:lang w:val="en-US" w:eastAsia="zh-CN"/>
                    </w:rPr>
                    <w:t>南</w:t>
                  </w:r>
                  <w:r>
                    <w:t>；风速：</w:t>
                  </w:r>
                  <w:r>
                    <w:rPr>
                      <w:rFonts w:hint="eastAsia"/>
                      <w:lang w:val="en-US" w:eastAsia="zh-CN"/>
                    </w:rPr>
                    <w:t>2.5</w:t>
                  </w:r>
                  <w:r>
                    <w:t>m/s；天气：</w:t>
                  </w:r>
                  <w:r>
                    <w:rPr>
                      <w:rFonts w:hint="eastAsia"/>
                      <w:lang w:val="en-US" w:eastAsia="zh-CN"/>
                    </w:rPr>
                    <w:t>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173" w:type="dxa"/>
                  <w:gridSpan w:val="2"/>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备注</w:t>
                  </w:r>
                </w:p>
              </w:tc>
              <w:tc>
                <w:tcPr>
                  <w:tcW w:w="7465" w:type="dxa"/>
                  <w:gridSpan w:val="6"/>
                  <w:vAlign w:val="center"/>
                </w:tcPr>
                <w:p>
                  <w:pPr>
                    <w:pageBreakBefore w:val="0"/>
                    <w:widowControl w:val="0"/>
                    <w:kinsoku/>
                    <w:wordWrap/>
                    <w:overflowPunct/>
                    <w:topLinePunct w:val="0"/>
                    <w:autoSpaceDE/>
                    <w:autoSpaceDN/>
                    <w:bidi w:val="0"/>
                    <w:adjustRightInd/>
                    <w:snapToGrid/>
                    <w:ind w:right="0"/>
                    <w:jc w:val="left"/>
                    <w:textAlignment w:val="auto"/>
                  </w:pPr>
                  <w:r>
                    <w:rPr>
                      <w:rFonts w:hint="eastAsia"/>
                    </w:rPr>
                    <w:t>验收监测期间，生产工况正常。项目厂界执行《工业企业厂界环境噪声排放标准》（GB12348-2008）1类标准。</w:t>
                  </w:r>
                </w:p>
              </w:tc>
            </w:tr>
          </w:tbl>
          <w:p>
            <w:pPr>
              <w:pageBreakBefore w:val="0"/>
              <w:widowControl w:val="0"/>
              <w:kinsoku/>
              <w:wordWrap/>
              <w:overflowPunct/>
              <w:topLinePunct w:val="0"/>
              <w:autoSpaceDE/>
              <w:autoSpaceDN/>
              <w:bidi w:val="0"/>
              <w:adjustRightInd/>
              <w:snapToGrid/>
              <w:ind w:right="0"/>
              <w:textAlignment w:val="auto"/>
            </w:pPr>
          </w:p>
          <w:p>
            <w:pPr>
              <w:pageBreakBefore w:val="0"/>
              <w:widowControl w:val="0"/>
              <w:kinsoku/>
              <w:wordWrap/>
              <w:overflowPunct/>
              <w:topLinePunct w:val="0"/>
              <w:autoSpaceDE/>
              <w:autoSpaceDN/>
              <w:bidi w:val="0"/>
              <w:adjustRightInd/>
              <w:snapToGrid/>
              <w:ind w:right="0"/>
              <w:jc w:val="center"/>
              <w:textAlignment w:val="auto"/>
            </w:pPr>
            <w:r>
              <w:t>表</w:t>
            </w:r>
            <w:r>
              <w:rPr>
                <w:rFonts w:hint="eastAsia"/>
              </w:rPr>
              <w:t>8.5</w:t>
            </w:r>
            <w:r>
              <w:rPr>
                <w:rFonts w:hint="eastAsia"/>
                <w:lang w:val="en-US" w:eastAsia="zh-CN"/>
              </w:rPr>
              <w:t>戴庄</w:t>
            </w:r>
            <w:r>
              <w:t>噪声监测结果</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6"/>
              <w:gridCol w:w="977"/>
              <w:gridCol w:w="1268"/>
              <w:gridCol w:w="1378"/>
              <w:gridCol w:w="1247"/>
              <w:gridCol w:w="1247"/>
              <w:gridCol w:w="1260"/>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173" w:type="dxa"/>
                  <w:gridSpan w:val="2"/>
                  <w:tcBorders>
                    <w:top w:val="single" w:color="auto" w:sz="12" w:space="0"/>
                    <w:bottom w:val="single" w:color="auto" w:sz="6" w:space="0"/>
                    <w:tl2br w:val="single" w:color="auto" w:sz="6" w:space="0"/>
                  </w:tcBorders>
                  <w:vAlign w:val="center"/>
                </w:tcPr>
                <w:p>
                  <w:pPr>
                    <w:pageBreakBefore w:val="0"/>
                    <w:widowControl w:val="0"/>
                    <w:kinsoku/>
                    <w:wordWrap/>
                    <w:overflowPunct/>
                    <w:topLinePunct w:val="0"/>
                    <w:autoSpaceDE/>
                    <w:autoSpaceDN/>
                    <w:bidi w:val="0"/>
                    <w:adjustRightInd/>
                    <w:snapToGrid/>
                    <w:ind w:right="0"/>
                    <w:jc w:val="right"/>
                    <w:textAlignment w:val="auto"/>
                  </w:pPr>
                  <w:r>
                    <w:rPr>
                      <w:rFonts w:hint="eastAsia"/>
                    </w:rPr>
                    <w:t>点位</w:t>
                  </w:r>
                </w:p>
                <w:p>
                  <w:pPr>
                    <w:pageBreakBefore w:val="0"/>
                    <w:widowControl w:val="0"/>
                    <w:kinsoku/>
                    <w:wordWrap/>
                    <w:overflowPunct/>
                    <w:topLinePunct w:val="0"/>
                    <w:autoSpaceDE/>
                    <w:autoSpaceDN/>
                    <w:bidi w:val="0"/>
                    <w:adjustRightInd/>
                    <w:snapToGrid/>
                    <w:ind w:right="0"/>
                    <w:jc w:val="left"/>
                    <w:textAlignment w:val="auto"/>
                  </w:pPr>
                  <w:r>
                    <w:rPr>
                      <w:rFonts w:hint="eastAsia"/>
                    </w:rPr>
                    <w:t>监测时间</w:t>
                  </w:r>
                </w:p>
                <w:p>
                  <w:pPr>
                    <w:pageBreakBefore w:val="0"/>
                    <w:widowControl w:val="0"/>
                    <w:kinsoku/>
                    <w:wordWrap/>
                    <w:overflowPunct/>
                    <w:topLinePunct w:val="0"/>
                    <w:autoSpaceDE/>
                    <w:autoSpaceDN/>
                    <w:bidi w:val="0"/>
                    <w:adjustRightInd/>
                    <w:snapToGrid/>
                    <w:ind w:right="0"/>
                    <w:textAlignment w:val="auto"/>
                  </w:pP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lang w:val="en-US" w:eastAsia="zh-CN"/>
                    </w:rPr>
                    <w:t>北</w:t>
                  </w:r>
                  <w:r>
                    <w:rPr>
                      <w:rFonts w:hint="eastAsia"/>
                    </w:rPr>
                    <w:t>厂界</w:t>
                  </w:r>
                </w:p>
                <w:p>
                  <w:pPr>
                    <w:pageBreakBefore w:val="0"/>
                    <w:widowControl w:val="0"/>
                    <w:kinsoku/>
                    <w:wordWrap/>
                    <w:overflowPunct/>
                    <w:topLinePunct w:val="0"/>
                    <w:autoSpaceDE/>
                    <w:autoSpaceDN/>
                    <w:bidi w:val="0"/>
                    <w:adjustRightInd/>
                    <w:snapToGrid/>
                    <w:ind w:right="0"/>
                    <w:jc w:val="center"/>
                    <w:textAlignment w:val="auto"/>
                  </w:pPr>
                  <w:r>
                    <w:rPr>
                      <w:rFonts w:hint="eastAsia"/>
                      <w:lang w:eastAsia="zh-CN"/>
                    </w:rPr>
                    <w:t>（</w:t>
                  </w:r>
                  <w:r>
                    <w:rPr>
                      <w:rFonts w:hint="eastAsia"/>
                      <w:lang w:val="en-US" w:eastAsia="zh-CN"/>
                    </w:rPr>
                    <w:t>Z</w:t>
                  </w:r>
                  <w:r>
                    <w:rPr>
                      <w:rFonts w:hint="eastAsia"/>
                    </w:rPr>
                    <w:t>1）</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西</w:t>
                  </w:r>
                  <w:r>
                    <w:rPr>
                      <w:rFonts w:hint="eastAsia"/>
                    </w:rPr>
                    <w:t>厂界</w:t>
                  </w:r>
                </w:p>
                <w:p>
                  <w:pPr>
                    <w:pageBreakBefore w:val="0"/>
                    <w:widowControl w:val="0"/>
                    <w:kinsoku/>
                    <w:wordWrap/>
                    <w:overflowPunct/>
                    <w:topLinePunct w:val="0"/>
                    <w:autoSpaceDE/>
                    <w:autoSpaceDN/>
                    <w:bidi w:val="0"/>
                    <w:adjustRightInd/>
                    <w:snapToGrid/>
                    <w:ind w:right="0"/>
                    <w:jc w:val="center"/>
                    <w:textAlignment w:val="auto"/>
                  </w:pPr>
                  <w:r>
                    <w:rPr>
                      <w:rFonts w:hint="eastAsia"/>
                    </w:rPr>
                    <w:t>（</w:t>
                  </w:r>
                  <w:r>
                    <w:rPr>
                      <w:rFonts w:hint="eastAsia"/>
                      <w:lang w:val="en-US" w:eastAsia="zh-CN"/>
                    </w:rPr>
                    <w:t>Z</w:t>
                  </w:r>
                  <w:r>
                    <w:t>2</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南</w:t>
                  </w:r>
                  <w:r>
                    <w:rPr>
                      <w:rFonts w:hint="eastAsia"/>
                    </w:rPr>
                    <w:t>厂界（</w:t>
                  </w:r>
                  <w:r>
                    <w:rPr>
                      <w:rFonts w:hint="eastAsia"/>
                      <w:lang w:val="en-US" w:eastAsia="zh-CN"/>
                    </w:rPr>
                    <w:t>Z</w:t>
                  </w:r>
                  <w:r>
                    <w:t>3</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lang w:val="en-US" w:eastAsia="zh-CN"/>
                    </w:rPr>
                    <w:t>东</w:t>
                  </w:r>
                  <w:r>
                    <w:rPr>
                      <w:rFonts w:hint="eastAsia"/>
                    </w:rPr>
                    <w:t>厂界（</w:t>
                  </w:r>
                  <w:r>
                    <w:rPr>
                      <w:rFonts w:hint="eastAsia"/>
                      <w:lang w:val="en-US" w:eastAsia="zh-CN"/>
                    </w:rPr>
                    <w:t>Z</w:t>
                  </w:r>
                  <w:r>
                    <w:t>4</w:t>
                  </w:r>
                  <w:r>
                    <w:rPr>
                      <w:rFonts w:hint="eastAsia"/>
                    </w:rPr>
                    <w:t>）</w:t>
                  </w:r>
                </w:p>
                <w:p>
                  <w:pPr>
                    <w:pageBreakBefore w:val="0"/>
                    <w:widowControl w:val="0"/>
                    <w:kinsoku/>
                    <w:wordWrap/>
                    <w:overflowPunct/>
                    <w:topLinePunct w:val="0"/>
                    <w:autoSpaceDE/>
                    <w:autoSpaceDN/>
                    <w:bidi w:val="0"/>
                    <w:adjustRightInd/>
                    <w:snapToGrid/>
                    <w:ind w:right="0"/>
                    <w:jc w:val="center"/>
                    <w:textAlignment w:val="auto"/>
                  </w:pPr>
                  <w:r>
                    <w:rPr>
                      <w:rFonts w:hint="eastAsia"/>
                    </w:rPr>
                    <w:t>dB(A)</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1类区标准dB(A)</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评价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restart"/>
                  <w:tcBorders>
                    <w:top w:val="single" w:color="auto" w:sz="6" w:space="0"/>
                  </w:tcBorders>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rPr>
                    <w:t>2</w:t>
                  </w:r>
                  <w:r>
                    <w:rPr>
                      <w:rFonts w:hint="eastAsia"/>
                      <w:lang w:val="en-US" w:eastAsia="zh-CN"/>
                    </w:rPr>
                    <w:t>022-6-6</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（S08）</w:t>
                  </w:r>
                </w:p>
              </w:tc>
              <w:tc>
                <w:tcPr>
                  <w:tcW w:w="977" w:type="dxa"/>
                  <w:tcBorders>
                    <w:top w:val="single" w:color="auto" w:sz="6" w:space="0"/>
                  </w:tcBorders>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昼间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47</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51</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55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夜间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38</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40</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41</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45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2022-6-7</w:t>
                  </w:r>
                </w:p>
                <w:p>
                  <w:pPr>
                    <w:pStyle w:val="32"/>
                    <w:pageBreakBefore w:val="0"/>
                    <w:widowControl w:val="0"/>
                    <w:kinsoku/>
                    <w:wordWrap/>
                    <w:overflowPunct/>
                    <w:topLinePunct w:val="0"/>
                    <w:autoSpaceDE/>
                    <w:autoSpaceDN/>
                    <w:bidi w:val="0"/>
                    <w:adjustRightInd/>
                    <w:snapToGrid/>
                    <w:ind w:left="0" w:leftChars="0" w:right="0" w:firstLine="210" w:firstLineChars="100"/>
                    <w:jc w:val="center"/>
                    <w:textAlignment w:val="auto"/>
                  </w:pPr>
                  <w:r>
                    <w:rPr>
                      <w:rFonts w:hint="eastAsia"/>
                      <w:lang w:val="en-US" w:eastAsia="zh-CN"/>
                    </w:rPr>
                    <w:t>（S08）</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昼间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53</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53</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55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夜间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38</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44</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45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rPr>
                    <w:t>2</w:t>
                  </w:r>
                  <w:r>
                    <w:rPr>
                      <w:rFonts w:hint="eastAsia"/>
                      <w:lang w:val="en-US" w:eastAsia="zh-CN"/>
                    </w:rPr>
                    <w:t>022-6-6</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（S11）</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昼间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rPr>
                  </w:pPr>
                  <w:r>
                    <w:rPr>
                      <w:rFonts w:hint="eastAsia"/>
                      <w:lang w:val="en-US" w:eastAsia="zh-CN"/>
                    </w:rPr>
                    <w:t>51</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51</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55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夜间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restart"/>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rPr>
                    <w:t>2</w:t>
                  </w:r>
                  <w:r>
                    <w:rPr>
                      <w:rFonts w:hint="eastAsia"/>
                      <w:lang w:val="en-US" w:eastAsia="zh-CN"/>
                    </w:rPr>
                    <w:t>022-6-7</w:t>
                  </w:r>
                </w:p>
                <w:p>
                  <w:pPr>
                    <w:pStyle w:val="32"/>
                    <w:pageBreakBefore w:val="0"/>
                    <w:widowControl w:val="0"/>
                    <w:kinsoku/>
                    <w:wordWrap/>
                    <w:overflowPunct/>
                    <w:topLinePunct w:val="0"/>
                    <w:autoSpaceDE/>
                    <w:autoSpaceDN/>
                    <w:bidi w:val="0"/>
                    <w:adjustRightInd/>
                    <w:snapToGrid/>
                    <w:ind w:left="0" w:leftChars="0" w:right="0" w:firstLine="0" w:firstLineChars="0"/>
                    <w:jc w:val="center"/>
                    <w:textAlignment w:val="auto"/>
                  </w:pPr>
                  <w:r>
                    <w:rPr>
                      <w:rFonts w:hint="eastAsia"/>
                      <w:lang w:val="en-US" w:eastAsia="zh-CN"/>
                    </w:rPr>
                    <w:t>（S11）</w:t>
                  </w: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昼间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54</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50</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55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196" w:type="dxa"/>
                  <w:vMerge w:val="continue"/>
                  <w:vAlign w:val="center"/>
                </w:tcPr>
                <w:p>
                  <w:pPr>
                    <w:pageBreakBefore w:val="0"/>
                    <w:widowControl w:val="0"/>
                    <w:kinsoku/>
                    <w:wordWrap/>
                    <w:overflowPunct/>
                    <w:topLinePunct w:val="0"/>
                    <w:autoSpaceDE/>
                    <w:autoSpaceDN/>
                    <w:bidi w:val="0"/>
                    <w:adjustRightInd/>
                    <w:snapToGrid/>
                    <w:ind w:right="0"/>
                    <w:jc w:val="center"/>
                    <w:textAlignment w:val="auto"/>
                  </w:pPr>
                </w:p>
              </w:tc>
              <w:tc>
                <w:tcPr>
                  <w:tcW w:w="977"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夜间</w:t>
                  </w:r>
                </w:p>
              </w:tc>
              <w:tc>
                <w:tcPr>
                  <w:tcW w:w="126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43</w:t>
                  </w:r>
                </w:p>
              </w:tc>
              <w:tc>
                <w:tcPr>
                  <w:tcW w:w="1378"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38</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39</w:t>
                  </w:r>
                </w:p>
              </w:tc>
              <w:tc>
                <w:tcPr>
                  <w:tcW w:w="1247" w:type="dxa"/>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42</w:t>
                  </w:r>
                </w:p>
              </w:tc>
              <w:tc>
                <w:tcPr>
                  <w:tcW w:w="1260"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45</w:t>
                  </w:r>
                </w:p>
              </w:tc>
              <w:tc>
                <w:tcPr>
                  <w:tcW w:w="1065" w:type="dxa"/>
                  <w:vAlign w:val="center"/>
                </w:tcPr>
                <w:p>
                  <w:pPr>
                    <w:pageBreakBefore w:val="0"/>
                    <w:widowControl w:val="0"/>
                    <w:kinsoku/>
                    <w:wordWrap/>
                    <w:overflowPunct/>
                    <w:topLinePunct w:val="0"/>
                    <w:autoSpaceDE/>
                    <w:autoSpaceDN/>
                    <w:bidi w:val="0"/>
                    <w:adjustRightInd/>
                    <w:snapToGrid/>
                    <w:ind w:right="0"/>
                    <w:jc w:val="center"/>
                    <w:textAlignment w:val="auto"/>
                    <w:rPr>
                      <w:rFonts w:hint="eastAsia"/>
                    </w:rPr>
                  </w:pPr>
                  <w:r>
                    <w:rPr>
                      <w:rFonts w:hint="eastAsia"/>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173" w:type="dxa"/>
                  <w:gridSpan w:val="2"/>
                  <w:shd w:val="clear" w:color="auto" w:fill="auto"/>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气象参数</w:t>
                  </w:r>
                </w:p>
              </w:tc>
              <w:tc>
                <w:tcPr>
                  <w:tcW w:w="7465" w:type="dxa"/>
                  <w:gridSpan w:val="6"/>
                  <w:shd w:val="clear" w:color="auto" w:fill="auto"/>
                  <w:vAlign w:val="center"/>
                </w:tcPr>
                <w:p>
                  <w:pPr>
                    <w:pageBreakBefore w:val="0"/>
                    <w:widowControl w:val="0"/>
                    <w:kinsoku/>
                    <w:wordWrap/>
                    <w:overflowPunct/>
                    <w:topLinePunct w:val="0"/>
                    <w:autoSpaceDE/>
                    <w:autoSpaceDN/>
                    <w:bidi w:val="0"/>
                    <w:adjustRightInd/>
                    <w:snapToGrid/>
                    <w:ind w:right="0"/>
                    <w:jc w:val="left"/>
                    <w:textAlignment w:val="auto"/>
                    <w:rPr>
                      <w:rFonts w:hint="eastAsia"/>
                    </w:rPr>
                  </w:pPr>
                  <w:r>
                    <w:rPr>
                      <w:rFonts w:hint="eastAsia"/>
                    </w:rPr>
                    <w:t>20</w:t>
                  </w:r>
                  <w:r>
                    <w:rPr>
                      <w:rFonts w:hint="eastAsia"/>
                      <w:lang w:val="en-US" w:eastAsia="zh-CN"/>
                    </w:rPr>
                    <w:t>22</w:t>
                  </w:r>
                  <w:r>
                    <w:rPr>
                      <w:rFonts w:hint="eastAsia"/>
                    </w:rPr>
                    <w:t>年</w:t>
                  </w:r>
                  <w:r>
                    <w:rPr>
                      <w:rFonts w:hint="eastAsia"/>
                      <w:lang w:val="en-US" w:eastAsia="zh-CN"/>
                    </w:rPr>
                    <w:t>6</w:t>
                  </w:r>
                  <w:r>
                    <w:rPr>
                      <w:rFonts w:hint="eastAsia"/>
                    </w:rPr>
                    <w:t>月</w:t>
                  </w:r>
                  <w:r>
                    <w:rPr>
                      <w:rFonts w:hint="eastAsia"/>
                      <w:lang w:val="en-US" w:eastAsia="zh-CN"/>
                    </w:rPr>
                    <w:t>6</w:t>
                  </w:r>
                  <w:r>
                    <w:rPr>
                      <w:rFonts w:hint="eastAsia"/>
                    </w:rPr>
                    <w:t>日</w:t>
                  </w:r>
                  <w:r>
                    <w:rPr>
                      <w:rFonts w:hint="eastAsia"/>
                      <w:lang w:val="en-US" w:eastAsia="zh-CN"/>
                    </w:rPr>
                    <w:t xml:space="preserve"> </w:t>
                  </w:r>
                  <w:r>
                    <w:t>风向：</w:t>
                  </w:r>
                  <w:r>
                    <w:rPr>
                      <w:rFonts w:hint="eastAsia"/>
                      <w:lang w:val="en-US" w:eastAsia="zh-CN"/>
                    </w:rPr>
                    <w:t>北</w:t>
                  </w:r>
                  <w:r>
                    <w:t>；风速：</w:t>
                  </w:r>
                  <w:r>
                    <w:rPr>
                      <w:rFonts w:hint="eastAsia"/>
                      <w:lang w:val="en-US" w:eastAsia="zh-CN"/>
                    </w:rPr>
                    <w:t>2.5</w:t>
                  </w:r>
                  <w:r>
                    <w:t>m/s；天气：</w:t>
                  </w:r>
                  <w:r>
                    <w:rPr>
                      <w:rFonts w:hint="eastAsia"/>
                    </w:rPr>
                    <w:t>晴；</w:t>
                  </w:r>
                </w:p>
                <w:p>
                  <w:pPr>
                    <w:pageBreakBefore w:val="0"/>
                    <w:widowControl w:val="0"/>
                    <w:kinsoku/>
                    <w:wordWrap/>
                    <w:overflowPunct/>
                    <w:topLinePunct w:val="0"/>
                    <w:autoSpaceDE/>
                    <w:autoSpaceDN/>
                    <w:bidi w:val="0"/>
                    <w:adjustRightInd/>
                    <w:snapToGrid/>
                    <w:ind w:right="0"/>
                    <w:jc w:val="left"/>
                    <w:textAlignment w:val="auto"/>
                  </w:pPr>
                  <w:r>
                    <w:rPr>
                      <w:rFonts w:hint="eastAsia"/>
                    </w:rPr>
                    <w:t>202</w:t>
                  </w:r>
                  <w:r>
                    <w:rPr>
                      <w:rFonts w:hint="eastAsia"/>
                      <w:lang w:val="en-US" w:eastAsia="zh-CN"/>
                    </w:rPr>
                    <w:t>2</w:t>
                  </w:r>
                  <w:r>
                    <w:rPr>
                      <w:rFonts w:hint="eastAsia"/>
                    </w:rPr>
                    <w:t>年</w:t>
                  </w:r>
                  <w:r>
                    <w:rPr>
                      <w:rFonts w:hint="eastAsia"/>
                      <w:lang w:val="en-US" w:eastAsia="zh-CN"/>
                    </w:rPr>
                    <w:t>6</w:t>
                  </w:r>
                  <w:r>
                    <w:rPr>
                      <w:rFonts w:hint="eastAsia"/>
                    </w:rPr>
                    <w:t>月</w:t>
                  </w:r>
                  <w:r>
                    <w:rPr>
                      <w:rFonts w:hint="eastAsia"/>
                      <w:lang w:val="en-US" w:eastAsia="zh-CN"/>
                    </w:rPr>
                    <w:t>7</w:t>
                  </w:r>
                  <w:r>
                    <w:rPr>
                      <w:rFonts w:hint="eastAsia"/>
                    </w:rPr>
                    <w:t>日</w:t>
                  </w:r>
                  <w:r>
                    <w:rPr>
                      <w:rFonts w:hint="eastAsia"/>
                      <w:lang w:val="en-US" w:eastAsia="zh-CN"/>
                    </w:rPr>
                    <w:t xml:space="preserve"> </w:t>
                  </w:r>
                  <w:r>
                    <w:t>风向：</w:t>
                  </w:r>
                  <w:r>
                    <w:rPr>
                      <w:rFonts w:hint="eastAsia"/>
                      <w:lang w:val="en-US" w:eastAsia="zh-CN"/>
                    </w:rPr>
                    <w:t>北</w:t>
                  </w:r>
                  <w:r>
                    <w:t>；风速：</w:t>
                  </w:r>
                  <w:r>
                    <w:rPr>
                      <w:rFonts w:hint="eastAsia"/>
                    </w:rPr>
                    <w:t>2.</w:t>
                  </w:r>
                  <w:r>
                    <w:rPr>
                      <w:rFonts w:hint="eastAsia"/>
                      <w:lang w:val="en-US" w:eastAsia="zh-CN"/>
                    </w:rPr>
                    <w:t>3</w:t>
                  </w:r>
                  <w:r>
                    <w:t>m/s；天气：</w:t>
                  </w:r>
                  <w:r>
                    <w:rPr>
                      <w:rFonts w:hint="eastAsia"/>
                      <w:lang w:val="en-US" w:eastAsia="zh-CN"/>
                    </w:rPr>
                    <w:t>晴</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173" w:type="dxa"/>
                  <w:gridSpan w:val="2"/>
                  <w:vAlign w:val="center"/>
                </w:tcPr>
                <w:p>
                  <w:pPr>
                    <w:pageBreakBefore w:val="0"/>
                    <w:widowControl w:val="0"/>
                    <w:kinsoku/>
                    <w:wordWrap/>
                    <w:overflowPunct/>
                    <w:topLinePunct w:val="0"/>
                    <w:autoSpaceDE/>
                    <w:autoSpaceDN/>
                    <w:bidi w:val="0"/>
                    <w:adjustRightInd/>
                    <w:snapToGrid/>
                    <w:ind w:right="0"/>
                    <w:jc w:val="center"/>
                    <w:textAlignment w:val="auto"/>
                  </w:pPr>
                  <w:r>
                    <w:rPr>
                      <w:rFonts w:hint="eastAsia"/>
                    </w:rPr>
                    <w:t>备注</w:t>
                  </w:r>
                </w:p>
              </w:tc>
              <w:tc>
                <w:tcPr>
                  <w:tcW w:w="7465" w:type="dxa"/>
                  <w:gridSpan w:val="6"/>
                  <w:vAlign w:val="center"/>
                </w:tcPr>
                <w:p>
                  <w:pPr>
                    <w:pageBreakBefore w:val="0"/>
                    <w:widowControl w:val="0"/>
                    <w:kinsoku/>
                    <w:wordWrap/>
                    <w:overflowPunct/>
                    <w:topLinePunct w:val="0"/>
                    <w:autoSpaceDE/>
                    <w:autoSpaceDN/>
                    <w:bidi w:val="0"/>
                    <w:adjustRightInd/>
                    <w:snapToGrid/>
                    <w:ind w:right="0"/>
                    <w:jc w:val="left"/>
                    <w:textAlignment w:val="auto"/>
                  </w:pPr>
                  <w:r>
                    <w:rPr>
                      <w:rFonts w:hint="eastAsia"/>
                    </w:rPr>
                    <w:t>验收监测期间，生产工况正常。项目厂界执行《工业企业厂界环境噪声排放标准》（GB12348-2008）1类标准。</w:t>
                  </w:r>
                </w:p>
              </w:tc>
            </w:tr>
          </w:tbl>
          <w:p>
            <w:pPr>
              <w:pageBreakBefore w:val="0"/>
              <w:widowControl w:val="0"/>
              <w:kinsoku/>
              <w:wordWrap/>
              <w:overflowPunct/>
              <w:topLinePunct w:val="0"/>
              <w:autoSpaceDE/>
              <w:autoSpaceDN/>
              <w:bidi w:val="0"/>
              <w:adjustRightInd/>
              <w:snapToGrid/>
              <w:spacing w:line="360" w:lineRule="auto"/>
              <w:ind w:right="0" w:firstLine="420" w:firstLineChars="200"/>
              <w:jc w:val="center"/>
              <w:textAlignment w:val="auto"/>
              <w:rPr>
                <w:rFonts w:hint="eastAsia"/>
                <w:lang w:val="en-US" w:eastAsia="zh-CN"/>
              </w:rPr>
            </w:pPr>
            <w:r>
              <w:rPr>
                <w:rFonts w:hint="eastAsia"/>
                <w:lang w:val="en-US" w:eastAsia="zh-CN"/>
              </w:rPr>
              <w:t>表8.6 废气监测结果表</w:t>
            </w:r>
          </w:p>
          <w:tbl>
            <w:tblPr>
              <w:tblStyle w:val="33"/>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515"/>
              <w:gridCol w:w="1135"/>
              <w:gridCol w:w="1006"/>
              <w:gridCol w:w="1006"/>
              <w:gridCol w:w="1118"/>
              <w:gridCol w:w="877"/>
              <w:gridCol w:w="877"/>
              <w:gridCol w:w="896"/>
              <w:gridCol w:w="896"/>
              <w:gridCol w:w="560"/>
              <w:gridCol w:w="37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36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点位</w:t>
                  </w:r>
                </w:p>
              </w:tc>
              <w:tc>
                <w:tcPr>
                  <w:tcW w:w="51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日期</w:t>
                  </w: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监测项目</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第一次</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第二次</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第三次</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val="en-US" w:eastAsia="zh-CN"/>
                    </w:rPr>
                  </w:pPr>
                  <w:r>
                    <w:rPr>
                      <w:rFonts w:hint="eastAsia"/>
                      <w:kern w:val="0"/>
                      <w:szCs w:val="21"/>
                      <w:lang w:val="en-US" w:eastAsia="zh-CN"/>
                    </w:rPr>
                    <w:t>第四次</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val="en-US" w:eastAsia="zh-CN"/>
                    </w:rPr>
                  </w:pPr>
                  <w:r>
                    <w:rPr>
                      <w:rFonts w:hint="eastAsia"/>
                      <w:kern w:val="0"/>
                      <w:szCs w:val="21"/>
                      <w:lang w:val="en-US" w:eastAsia="zh-CN"/>
                    </w:rPr>
                    <w:t>第五次</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均值</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评价值</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标准值</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评价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restart"/>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排气筒出口</w:t>
                  </w:r>
                </w:p>
              </w:tc>
              <w:tc>
                <w:tcPr>
                  <w:tcW w:w="515" w:type="dxa"/>
                  <w:vMerge w:val="restart"/>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20</w:t>
                  </w:r>
                  <w:r>
                    <w:rPr>
                      <w:rFonts w:hint="eastAsia"/>
                      <w:kern w:val="0"/>
                      <w:szCs w:val="21"/>
                      <w:lang w:val="en-US" w:eastAsia="zh-CN"/>
                    </w:rPr>
                    <w:t>22</w:t>
                  </w:r>
                  <w:r>
                    <w:rPr>
                      <w:rFonts w:hint="eastAsia"/>
                      <w:kern w:val="0"/>
                      <w:szCs w:val="21"/>
                    </w:rPr>
                    <w:t>年</w:t>
                  </w:r>
                  <w:r>
                    <w:rPr>
                      <w:rFonts w:hint="eastAsia"/>
                      <w:kern w:val="0"/>
                      <w:szCs w:val="21"/>
                      <w:lang w:val="en-US" w:eastAsia="zh-CN"/>
                    </w:rPr>
                    <w:t>6</w:t>
                  </w:r>
                  <w:r>
                    <w:rPr>
                      <w:rFonts w:hint="eastAsia"/>
                      <w:kern w:val="0"/>
                      <w:szCs w:val="21"/>
                    </w:rPr>
                    <w:t>月</w:t>
                  </w:r>
                  <w:r>
                    <w:rPr>
                      <w:rFonts w:hint="eastAsia"/>
                      <w:kern w:val="0"/>
                      <w:szCs w:val="21"/>
                      <w:lang w:val="en-US" w:eastAsia="zh-CN"/>
                    </w:rPr>
                    <w:t>6</w:t>
                  </w:r>
                  <w:r>
                    <w:rPr>
                      <w:rFonts w:hint="eastAsia"/>
                      <w:kern w:val="0"/>
                      <w:szCs w:val="21"/>
                    </w:rPr>
                    <w:t>日</w:t>
                  </w: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排气温度</w:t>
                  </w:r>
                </w:p>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ascii="Times New Roman" w:hAnsi="Times New Roman" w:cs="Times New Roman"/>
                      <w:kern w:val="0"/>
                      <w:szCs w:val="21"/>
                      <w:highlight w:val="none"/>
                      <w:lang w:val="en-US" w:eastAsia="zh-CN"/>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39.5</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39.8</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39.1</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38.6</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38.1</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39.0</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highlight w:val="none"/>
                      <w:lang w:val="en-US" w:eastAsia="zh-CN"/>
                    </w:rPr>
                  </w:pPr>
                  <w:r>
                    <w:rPr>
                      <w:rFonts w:hint="eastAsia"/>
                      <w:kern w:val="0"/>
                      <w:szCs w:val="21"/>
                      <w:highlight w:val="none"/>
                      <w:lang w:val="en-US" w:eastAsia="zh-CN"/>
                    </w:rPr>
                    <w:t>排气流速</w:t>
                  </w:r>
                </w:p>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rPr>
                    <w:t>（</w:t>
                  </w:r>
                  <w:r>
                    <w:rPr>
                      <w:rFonts w:hint="eastAsia"/>
                      <w:kern w:val="0"/>
                      <w:szCs w:val="21"/>
                      <w:highlight w:val="none"/>
                      <w:lang w:val="en-US" w:eastAsia="zh-CN"/>
                    </w:rPr>
                    <w:t>m/s</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14.09</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14.03</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13.99</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14.00</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14.01</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14.02</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含湿量</w:t>
                  </w:r>
                  <w:r>
                    <w:rPr>
                      <w:rFonts w:hint="eastAsia"/>
                      <w:kern w:val="0"/>
                      <w:szCs w:val="21"/>
                      <w:highlight w:val="none"/>
                    </w:rPr>
                    <w:t>（</w:t>
                  </w:r>
                  <w:r>
                    <w:rPr>
                      <w:rFonts w:hint="eastAsia" w:hAnsi="宋体"/>
                      <w:kern w:val="0"/>
                      <w:szCs w:val="21"/>
                      <w:highlight w:val="none"/>
                      <w:lang w:val="en-US" w:eastAsia="zh-CN"/>
                    </w:rPr>
                    <w:t>%</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5.5</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5.1</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5.3</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4.9</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5.2</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标杆流量</w:t>
                  </w:r>
                  <w:r>
                    <w:rPr>
                      <w:rFonts w:hint="eastAsia"/>
                      <w:kern w:val="0"/>
                      <w:szCs w:val="21"/>
                      <w:highlight w:val="none"/>
                    </w:rPr>
                    <w:t>（</w:t>
                  </w:r>
                  <w:r>
                    <w:rPr>
                      <w:rFonts w:hint="eastAsia"/>
                      <w:kern w:val="0"/>
                      <w:szCs w:val="21"/>
                      <w:highlight w:val="none"/>
                      <w:lang w:val="en-US" w:eastAsia="zh-CN"/>
                    </w:rPr>
                    <w:t>Nm3/h</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3307</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3279</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2391</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3292</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3313</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3296</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 xml:space="preserve"> 油烟</w:t>
                  </w:r>
                  <w:r>
                    <w:rPr>
                      <w:rFonts w:hint="eastAsia"/>
                      <w:kern w:val="0"/>
                      <w:szCs w:val="21"/>
                      <w:highlight w:val="none"/>
                    </w:rPr>
                    <w:t>排放浓度（</w:t>
                  </w:r>
                  <w:r>
                    <w:rPr>
                      <w:rFonts w:hint="eastAsia" w:hAnsi="宋体"/>
                      <w:kern w:val="0"/>
                      <w:szCs w:val="21"/>
                      <w:highlight w:val="none"/>
                    </w:rPr>
                    <w:t>mg/m</w:t>
                  </w:r>
                  <w:r>
                    <w:rPr>
                      <w:rFonts w:hint="eastAsia" w:hAnsi="宋体"/>
                      <w:kern w:val="0"/>
                      <w:szCs w:val="21"/>
                      <w:highlight w:val="none"/>
                      <w:vertAlign w:val="superscript"/>
                    </w:rPr>
                    <w:t>3</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0.69</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0.33</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0.30</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0.30</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0.67</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0.46</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rPr>
                  </w:pPr>
                  <w:r>
                    <w:rPr>
                      <w:rFonts w:hint="eastAsia"/>
                      <w:kern w:val="0"/>
                      <w:szCs w:val="21"/>
                      <w:highlight w:val="none"/>
                      <w:lang w:val="en-US" w:eastAsia="zh-CN"/>
                    </w:rPr>
                    <w:t xml:space="preserve"> 油烟折算</w:t>
                  </w:r>
                  <w:r>
                    <w:rPr>
                      <w:rFonts w:hint="eastAsia"/>
                      <w:kern w:val="0"/>
                      <w:szCs w:val="21"/>
                      <w:highlight w:val="none"/>
                    </w:rPr>
                    <w:t>排放速率（</w:t>
                  </w:r>
                  <w:r>
                    <w:rPr>
                      <w:rFonts w:hint="eastAsia" w:hAnsi="宋体"/>
                      <w:kern w:val="0"/>
                      <w:szCs w:val="21"/>
                      <w:highlight w:val="none"/>
                    </w:rPr>
                    <w:t>mg/m</w:t>
                  </w:r>
                  <w:r>
                    <w:rPr>
                      <w:rFonts w:hint="eastAsia" w:hAnsi="宋体"/>
                      <w:kern w:val="0"/>
                      <w:szCs w:val="21"/>
                      <w:highlight w:val="none"/>
                      <w:vertAlign w:val="superscript"/>
                    </w:rPr>
                    <w:t>3</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1.0</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0.5</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0.4</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0.4</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0.9</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0.6</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restart"/>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rPr>
                    <w:t>20</w:t>
                  </w:r>
                  <w:r>
                    <w:rPr>
                      <w:rFonts w:hint="eastAsia"/>
                      <w:kern w:val="0"/>
                      <w:szCs w:val="21"/>
                      <w:lang w:val="en-US" w:eastAsia="zh-CN"/>
                    </w:rPr>
                    <w:t>22</w:t>
                  </w:r>
                  <w:r>
                    <w:rPr>
                      <w:rFonts w:hint="eastAsia"/>
                      <w:kern w:val="0"/>
                      <w:szCs w:val="21"/>
                    </w:rPr>
                    <w:t>年</w:t>
                  </w:r>
                  <w:r>
                    <w:rPr>
                      <w:rFonts w:hint="eastAsia"/>
                      <w:kern w:val="0"/>
                      <w:szCs w:val="21"/>
                      <w:lang w:val="en-US" w:eastAsia="zh-CN"/>
                    </w:rPr>
                    <w:t>6</w:t>
                  </w:r>
                  <w:r>
                    <w:rPr>
                      <w:rFonts w:hint="eastAsia"/>
                      <w:kern w:val="0"/>
                      <w:szCs w:val="21"/>
                    </w:rPr>
                    <w:t>月</w:t>
                  </w:r>
                  <w:r>
                    <w:rPr>
                      <w:rFonts w:hint="eastAsia"/>
                      <w:kern w:val="0"/>
                      <w:szCs w:val="21"/>
                      <w:lang w:val="en-US" w:eastAsia="zh-CN"/>
                    </w:rPr>
                    <w:t>7</w:t>
                  </w:r>
                  <w:r>
                    <w:rPr>
                      <w:rFonts w:hint="eastAsia"/>
                      <w:kern w:val="0"/>
                      <w:szCs w:val="21"/>
                    </w:rPr>
                    <w:t>日</w:t>
                  </w: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排气温度</w:t>
                  </w:r>
                </w:p>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rPr>
                  </w:pPr>
                  <w:r>
                    <w:rPr>
                      <w:rFonts w:hint="eastAsia" w:ascii="Times New Roman" w:hAnsi="Times New Roman" w:cs="Times New Roman"/>
                      <w:kern w:val="0"/>
                      <w:szCs w:val="21"/>
                      <w:highlight w:val="none"/>
                      <w:lang w:val="en-US" w:eastAsia="zh-CN"/>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37.8</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37.7</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37.9</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38.1</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37.6</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37.8</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highlight w:val="none"/>
                      <w:lang w:val="en-US" w:eastAsia="zh-CN"/>
                    </w:rPr>
                  </w:pPr>
                  <w:r>
                    <w:rPr>
                      <w:rFonts w:hint="eastAsia"/>
                      <w:kern w:val="0"/>
                      <w:szCs w:val="21"/>
                      <w:highlight w:val="none"/>
                      <w:lang w:val="en-US" w:eastAsia="zh-CN"/>
                    </w:rPr>
                    <w:t>排气流速</w:t>
                  </w:r>
                </w:p>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rPr>
                    <w:t>（</w:t>
                  </w:r>
                  <w:r>
                    <w:rPr>
                      <w:rFonts w:hint="eastAsia"/>
                      <w:kern w:val="0"/>
                      <w:szCs w:val="21"/>
                      <w:highlight w:val="none"/>
                      <w:lang w:val="en-US" w:eastAsia="zh-CN"/>
                    </w:rPr>
                    <w:t>m/s</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14.01</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14.06</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14.01</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14.02</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14.01</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14.02</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含湿量</w:t>
                  </w:r>
                  <w:r>
                    <w:rPr>
                      <w:rFonts w:hint="eastAsia"/>
                      <w:kern w:val="0"/>
                      <w:szCs w:val="21"/>
                      <w:highlight w:val="none"/>
                    </w:rPr>
                    <w:t>（</w:t>
                  </w:r>
                  <w:r>
                    <w:rPr>
                      <w:rFonts w:hint="eastAsia" w:hAnsi="宋体"/>
                      <w:kern w:val="0"/>
                      <w:szCs w:val="21"/>
                      <w:highlight w:val="none"/>
                      <w:lang w:val="en-US" w:eastAsia="zh-CN"/>
                    </w:rPr>
                    <w:t>%</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5.3</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5.5</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5.4</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5.2</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5.3</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5.3</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标杆流量</w:t>
                  </w:r>
                  <w:r>
                    <w:rPr>
                      <w:rFonts w:hint="eastAsia"/>
                      <w:kern w:val="0"/>
                      <w:szCs w:val="21"/>
                      <w:highlight w:val="none"/>
                    </w:rPr>
                    <w:t>（</w:t>
                  </w:r>
                  <w:r>
                    <w:rPr>
                      <w:rFonts w:hint="eastAsia"/>
                      <w:kern w:val="0"/>
                      <w:szCs w:val="21"/>
                      <w:highlight w:val="none"/>
                      <w:lang w:val="en-US" w:eastAsia="zh-CN"/>
                    </w:rPr>
                    <w:t>Nm3/h</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3336</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3342</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3332</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3338</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3337</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3337</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lang w:val="en-US" w:eastAsia="zh-CN"/>
                    </w:rPr>
                  </w:pPr>
                  <w:r>
                    <w:rPr>
                      <w:rFonts w:hint="eastAsia"/>
                      <w:kern w:val="0"/>
                      <w:szCs w:val="21"/>
                      <w:highlight w:val="none"/>
                      <w:lang w:val="en-US" w:eastAsia="zh-CN"/>
                    </w:rPr>
                    <w:t xml:space="preserve"> 油烟</w:t>
                  </w:r>
                  <w:r>
                    <w:rPr>
                      <w:rFonts w:hint="eastAsia"/>
                      <w:kern w:val="0"/>
                      <w:szCs w:val="21"/>
                      <w:highlight w:val="none"/>
                    </w:rPr>
                    <w:t>排放浓度（</w:t>
                  </w:r>
                  <w:r>
                    <w:rPr>
                      <w:rFonts w:hint="eastAsia" w:hAnsi="宋体"/>
                      <w:kern w:val="0"/>
                      <w:szCs w:val="21"/>
                      <w:highlight w:val="none"/>
                    </w:rPr>
                    <w:t>mg/m</w:t>
                  </w:r>
                  <w:r>
                    <w:rPr>
                      <w:rFonts w:hint="eastAsia" w:hAnsi="宋体"/>
                      <w:kern w:val="0"/>
                      <w:szCs w:val="21"/>
                      <w:highlight w:val="none"/>
                      <w:vertAlign w:val="superscript"/>
                    </w:rPr>
                    <w:t>3</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0.76</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0.70</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0.67</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0.75</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0.61</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0.70</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lang w:val="en-US" w:eastAsia="zh-CN"/>
                    </w:rPr>
                  </w:pPr>
                  <w:r>
                    <w:rPr>
                      <w:rFonts w:hint="eastAsia"/>
                      <w:kern w:val="0"/>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66"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515" w:type="dxa"/>
                  <w:vMerge w:val="continue"/>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p>
              </w:tc>
              <w:tc>
                <w:tcPr>
                  <w:tcW w:w="1135"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highlight w:val="none"/>
                    </w:rPr>
                  </w:pPr>
                  <w:r>
                    <w:rPr>
                      <w:rFonts w:hint="eastAsia"/>
                      <w:kern w:val="0"/>
                      <w:szCs w:val="21"/>
                      <w:highlight w:val="none"/>
                      <w:lang w:val="en-US" w:eastAsia="zh-CN"/>
                    </w:rPr>
                    <w:t xml:space="preserve"> 油烟折算</w:t>
                  </w:r>
                  <w:r>
                    <w:rPr>
                      <w:rFonts w:hint="eastAsia"/>
                      <w:kern w:val="0"/>
                      <w:szCs w:val="21"/>
                      <w:highlight w:val="none"/>
                    </w:rPr>
                    <w:t>排放速率（</w:t>
                  </w:r>
                  <w:r>
                    <w:rPr>
                      <w:rFonts w:hint="eastAsia" w:hAnsi="宋体"/>
                      <w:kern w:val="0"/>
                      <w:szCs w:val="21"/>
                      <w:highlight w:val="none"/>
                    </w:rPr>
                    <w:t>mg/m</w:t>
                  </w:r>
                  <w:r>
                    <w:rPr>
                      <w:rFonts w:hint="eastAsia" w:hAnsi="宋体"/>
                      <w:kern w:val="0"/>
                      <w:szCs w:val="21"/>
                      <w:highlight w:val="none"/>
                      <w:vertAlign w:val="superscript"/>
                    </w:rPr>
                    <w:t>3</w:t>
                  </w:r>
                  <w:r>
                    <w:rPr>
                      <w:rFonts w:hint="eastAsia"/>
                      <w:kern w:val="0"/>
                      <w:szCs w:val="21"/>
                      <w:highlight w:val="none"/>
                    </w:rPr>
                    <w:t>）</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1.1</w:t>
                  </w:r>
                </w:p>
              </w:tc>
              <w:tc>
                <w:tcPr>
                  <w:tcW w:w="1006" w:type="dxa"/>
                  <w:noWrap w:val="0"/>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1.0</w:t>
                  </w:r>
                </w:p>
              </w:tc>
              <w:tc>
                <w:tcPr>
                  <w:tcW w:w="1118"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0.9</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1.0</w:t>
                  </w:r>
                </w:p>
              </w:tc>
              <w:tc>
                <w:tcPr>
                  <w:tcW w:w="877"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0.8</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lang w:val="en-US" w:eastAsia="zh-CN"/>
                    </w:rPr>
                  </w:pPr>
                  <w:r>
                    <w:rPr>
                      <w:rFonts w:hint="eastAsia"/>
                      <w:lang w:val="en-US" w:eastAsia="zh-CN"/>
                    </w:rPr>
                    <w:t>1.0</w:t>
                  </w:r>
                </w:p>
              </w:tc>
              <w:tc>
                <w:tcPr>
                  <w:tcW w:w="896"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eastAsia="宋体"/>
                      <w:kern w:val="0"/>
                      <w:szCs w:val="21"/>
                      <w:lang w:val="en-US" w:eastAsia="zh-CN"/>
                    </w:rPr>
                  </w:pPr>
                  <w:r>
                    <w:rPr>
                      <w:rFonts w:hint="eastAsia"/>
                      <w:kern w:val="0"/>
                      <w:szCs w:val="21"/>
                      <w:lang w:val="en-US" w:eastAsia="zh-CN"/>
                    </w:rPr>
                    <w:t>2.0mg/m</w:t>
                  </w:r>
                  <w:r>
                    <w:rPr>
                      <w:rFonts w:hint="eastAsia"/>
                      <w:kern w:val="0"/>
                      <w:szCs w:val="21"/>
                      <w:vertAlign w:val="superscript"/>
                      <w:lang w:val="en-US" w:eastAsia="zh-CN"/>
                    </w:rPr>
                    <w:t>3</w:t>
                  </w:r>
                </w:p>
              </w:tc>
              <w:tc>
                <w:tcPr>
                  <w:tcW w:w="560"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default" w:eastAsia="宋体"/>
                      <w:kern w:val="0"/>
                      <w:szCs w:val="21"/>
                      <w:lang w:val="en-US" w:eastAsia="zh-CN"/>
                    </w:rPr>
                  </w:pPr>
                  <w:r>
                    <w:rPr>
                      <w:rFonts w:hint="eastAsia"/>
                      <w:kern w:val="0"/>
                      <w:szCs w:val="21"/>
                      <w:lang w:val="en-US" w:eastAsia="zh-CN"/>
                    </w:rPr>
                    <w:t>/</w:t>
                  </w:r>
                </w:p>
              </w:tc>
              <w:tc>
                <w:tcPr>
                  <w:tcW w:w="379" w:type="dxa"/>
                  <w:noWrap w:val="0"/>
                  <w:tcMar>
                    <w:top w:w="28" w:type="dxa"/>
                    <w:left w:w="28" w:type="dxa"/>
                    <w:bottom w:w="28" w:type="dxa"/>
                    <w:right w:w="28" w:type="dxa"/>
                  </w:tcMar>
                  <w:vAlign w:val="center"/>
                </w:tcPr>
                <w:p>
                  <w:pPr>
                    <w:pageBreakBefore w:val="0"/>
                    <w:widowControl w:val="0"/>
                    <w:kinsoku/>
                    <w:wordWrap/>
                    <w:overflowPunct/>
                    <w:topLinePunct w:val="0"/>
                    <w:autoSpaceDE/>
                    <w:autoSpaceDN/>
                    <w:bidi w:val="0"/>
                    <w:adjustRightInd/>
                    <w:snapToGrid/>
                    <w:ind w:right="0"/>
                    <w:jc w:val="center"/>
                    <w:textAlignment w:val="auto"/>
                    <w:rPr>
                      <w:rFonts w:hint="eastAsia"/>
                      <w:kern w:val="0"/>
                      <w:szCs w:val="21"/>
                    </w:rPr>
                  </w:pPr>
                  <w:r>
                    <w:rPr>
                      <w:rFonts w:hint="eastAsia"/>
                      <w:kern w:val="0"/>
                      <w:szCs w:val="21"/>
                      <w:lang w:val="en-US" w:eastAsia="zh-CN"/>
                    </w:rPr>
                    <w:t>/</w:t>
                  </w:r>
                </w:p>
              </w:tc>
            </w:tr>
          </w:tbl>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p>
            <w:pPr>
              <w:pStyle w:val="32"/>
              <w:pageBreakBefore w:val="0"/>
              <w:widowControl w:val="0"/>
              <w:kinsoku/>
              <w:wordWrap/>
              <w:overflowPunct/>
              <w:topLinePunct w:val="0"/>
              <w:autoSpaceDE/>
              <w:autoSpaceDN/>
              <w:bidi w:val="0"/>
              <w:adjustRightInd/>
              <w:snapToGrid/>
              <w:ind w:right="0"/>
              <w:textAlignment w:val="auto"/>
              <w:rPr>
                <w:rFonts w:hint="default"/>
                <w:lang w:val="en-US" w:eastAsia="zh-CN"/>
              </w:rPr>
            </w:pPr>
          </w:p>
        </w:tc>
      </w:tr>
    </w:tbl>
    <w:p>
      <w:pPr>
        <w:spacing w:line="360" w:lineRule="auto"/>
        <w:outlineLvl w:val="0"/>
        <w:rPr>
          <w:rFonts w:ascii="宋体" w:hAnsi="宋体" w:cs="宋体"/>
          <w:b/>
          <w:bCs/>
          <w:sz w:val="28"/>
          <w:szCs w:val="28"/>
        </w:rPr>
      </w:pPr>
      <w:bookmarkStart w:id="14" w:name="_Toc19463"/>
      <w:bookmarkStart w:id="15" w:name="_Toc16111"/>
      <w:r>
        <w:rPr>
          <w:rFonts w:hint="eastAsia" w:ascii="宋体" w:hAnsi="宋体" w:cs="宋体"/>
          <w:b/>
          <w:bCs/>
          <w:spacing w:val="-4"/>
          <w:sz w:val="28"/>
          <w:szCs w:val="28"/>
        </w:rPr>
        <w:t>表</w:t>
      </w:r>
      <w:r>
        <w:rPr>
          <w:rFonts w:hint="eastAsia" w:ascii="宋体" w:hAnsi="宋体" w:cs="宋体"/>
          <w:b/>
          <w:bCs/>
          <w:spacing w:val="-47"/>
          <w:sz w:val="28"/>
          <w:szCs w:val="28"/>
        </w:rPr>
        <w:t>九</w:t>
      </w:r>
      <w:r>
        <w:rPr>
          <w:rFonts w:hint="eastAsia" w:ascii="宋体" w:hAnsi="宋体" w:cs="宋体"/>
          <w:b/>
          <w:bCs/>
          <w:spacing w:val="-47"/>
          <w:sz w:val="28"/>
          <w:szCs w:val="28"/>
          <w:lang w:val="en-US" w:eastAsia="zh-CN"/>
        </w:rPr>
        <w:t xml:space="preserve">  </w:t>
      </w:r>
      <w:r>
        <w:rPr>
          <w:rFonts w:hint="eastAsia" w:ascii="宋体" w:hAnsi="宋体" w:cs="宋体"/>
          <w:b/>
          <w:bCs/>
          <w:spacing w:val="-4"/>
          <w:sz w:val="28"/>
          <w:szCs w:val="28"/>
        </w:rPr>
        <w:t>环境保护措施执行情况</w:t>
      </w:r>
      <w:bookmarkEnd w:id="14"/>
      <w:bookmarkEnd w:id="15"/>
    </w:p>
    <w:tbl>
      <w:tblPr>
        <w:tblStyle w:val="120"/>
        <w:tblW w:w="4968"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144"/>
        <w:gridCol w:w="2666"/>
        <w:gridCol w:w="2668"/>
        <w:gridCol w:w="26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1575" w:type="dxa"/>
            <w:gridSpan w:val="2"/>
            <w:tcBorders>
              <w:tl2br w:val="single" w:color="000000" w:sz="2" w:space="0"/>
            </w:tcBorders>
            <w:vAlign w:val="center"/>
          </w:tcPr>
          <w:p>
            <w:pPr>
              <w:spacing w:before="132" w:line="186" w:lineRule="auto"/>
              <w:ind w:firstLine="1043"/>
              <w:jc w:val="center"/>
              <w:rPr>
                <w:rFonts w:ascii="宋体" w:hAnsi="宋体" w:cs="宋体"/>
                <w:sz w:val="24"/>
                <w:szCs w:val="24"/>
              </w:rPr>
            </w:pPr>
            <w:r>
              <w:rPr>
                <w:rFonts w:ascii="宋体" w:hAnsi="宋体" w:cs="宋体"/>
                <w:spacing w:val="-3"/>
                <w:sz w:val="24"/>
                <w:szCs w:val="24"/>
              </w:rPr>
              <w:t>项目</w:t>
            </w:r>
          </w:p>
          <w:p>
            <w:pPr>
              <w:keepNext w:val="0"/>
              <w:keepLines w:val="0"/>
              <w:pageBreakBefore w:val="0"/>
              <w:widowControl w:val="0"/>
              <w:kinsoku/>
              <w:wordWrap/>
              <w:overflowPunct/>
              <w:topLinePunct w:val="0"/>
              <w:autoSpaceDE/>
              <w:autoSpaceDN/>
              <w:bidi w:val="0"/>
              <w:adjustRightInd/>
              <w:snapToGrid/>
              <w:spacing w:line="240" w:lineRule="exact"/>
              <w:ind w:firstLine="232" w:firstLineChars="100"/>
              <w:jc w:val="both"/>
              <w:textAlignment w:val="auto"/>
              <w:rPr>
                <w:rFonts w:ascii="宋体" w:hAnsi="宋体" w:cs="宋体"/>
                <w:sz w:val="24"/>
                <w:szCs w:val="24"/>
              </w:rPr>
            </w:pPr>
            <w:r>
              <w:rPr>
                <w:rFonts w:ascii="宋体" w:hAnsi="宋体" w:cs="宋体"/>
                <w:spacing w:val="-4"/>
                <w:sz w:val="24"/>
                <w:szCs w:val="24"/>
              </w:rPr>
              <w:t>阶段</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环境影响报告表机审批文件中要求的环境保护措施</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173"/>
              <w:jc w:val="center"/>
              <w:textAlignment w:val="auto"/>
              <w:rPr>
                <w:rFonts w:ascii="宋体" w:hAnsi="宋体" w:cs="宋体"/>
                <w:sz w:val="24"/>
                <w:szCs w:val="24"/>
              </w:rPr>
            </w:pPr>
            <w:r>
              <w:rPr>
                <w:rFonts w:ascii="宋体" w:hAnsi="宋体" w:cs="宋体"/>
                <w:spacing w:val="-1"/>
                <w:sz w:val="24"/>
                <w:szCs w:val="24"/>
              </w:rPr>
              <w:t>环境保护措施的落实情况</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措施的执行效果及未采取措施的原因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3" w:hRule="atLeast"/>
        </w:trPr>
        <w:tc>
          <w:tcPr>
            <w:tcW w:w="431" w:type="dxa"/>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jc w:val="center"/>
              <w:textAlignment w:val="auto"/>
              <w:rPr>
                <w:rFonts w:ascii="宋体" w:hAnsi="宋体" w:cs="宋体"/>
                <w:sz w:val="24"/>
                <w:szCs w:val="24"/>
              </w:rPr>
            </w:pPr>
            <w:r>
              <w:rPr>
                <w:rFonts w:ascii="宋体" w:hAnsi="宋体" w:cs="宋体"/>
                <w:spacing w:val="1"/>
                <w:sz w:val="24"/>
                <w:szCs w:val="24"/>
              </w:rPr>
              <w:t>施工期</w:t>
            </w:r>
          </w:p>
        </w:tc>
        <w:tc>
          <w:tcPr>
            <w:tcW w:w="1144" w:type="dxa"/>
            <w:vAlign w:val="center"/>
          </w:tcPr>
          <w:p>
            <w:pPr>
              <w:spacing w:line="335" w:lineRule="auto"/>
              <w:jc w:val="center"/>
              <w:rPr>
                <w:rFonts w:ascii="黑体"/>
                <w:sz w:val="24"/>
                <w:szCs w:val="24"/>
              </w:rPr>
            </w:pPr>
          </w:p>
          <w:p>
            <w:pPr>
              <w:spacing w:line="335" w:lineRule="auto"/>
              <w:jc w:val="center"/>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z w:val="24"/>
                <w:szCs w:val="24"/>
              </w:rPr>
            </w:pPr>
            <w:r>
              <w:rPr>
                <w:rFonts w:ascii="宋体" w:hAnsi="宋体" w:cs="宋体"/>
                <w:spacing w:val="-2"/>
                <w:sz w:val="24"/>
                <w:szCs w:val="24"/>
              </w:rPr>
              <w:t>生态保护措施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
                <w:sz w:val="24"/>
                <w:szCs w:val="24"/>
              </w:rPr>
              <w:t>要做好植被保护和生态恢</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4"/>
                <w:sz w:val="24"/>
                <w:szCs w:val="24"/>
              </w:rPr>
              <w:t>复工作，落实环评中的绿化</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4"/>
                <w:sz w:val="24"/>
                <w:szCs w:val="24"/>
              </w:rPr>
              <w:t>措施，防止造成生态破坏和</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水土流失</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pacing w:val="-1"/>
                <w:sz w:val="24"/>
                <w:szCs w:val="24"/>
              </w:rPr>
            </w:pPr>
            <w:r>
              <w:rPr>
                <w:rFonts w:ascii="宋体" w:hAnsi="宋体" w:cs="宋体"/>
                <w:spacing w:val="-2"/>
                <w:sz w:val="24"/>
                <w:szCs w:val="24"/>
              </w:rPr>
              <w:t>（</w:t>
            </w:r>
            <w:r>
              <w:rPr>
                <w:rFonts w:ascii="宋体" w:hAnsi="宋体" w:cs="宋体"/>
                <w:spacing w:val="-1"/>
                <w:sz w:val="24"/>
                <w:szCs w:val="24"/>
              </w:rPr>
              <w:t xml:space="preserve">1）施工完毕后及时行 绿化。目前植被生长良好。    </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
                <w:sz w:val="24"/>
                <w:szCs w:val="24"/>
              </w:rPr>
              <w:t>（2）开挖产生的土方就地平整，无弃方，按原地貌进行了平整，并进行了植被恢复。</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4"/>
                <w:sz w:val="24"/>
                <w:szCs w:val="24"/>
              </w:rPr>
              <w:t>减缓了生态环境影响，地表</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3"/>
                <w:sz w:val="24"/>
                <w:szCs w:val="24"/>
              </w:rPr>
              <w:t>及时进行了覆土和绿化</w:t>
            </w:r>
            <w:r>
              <w:rPr>
                <w:rFonts w:hint="eastAsia" w:ascii="宋体" w:hAnsi="宋体" w:cs="宋体"/>
                <w:spacing w:val="-13"/>
                <w:sz w:val="24"/>
                <w:szCs w:val="24"/>
              </w:rPr>
              <w:t>，</w:t>
            </w:r>
            <w:r>
              <w:rPr>
                <w:rFonts w:ascii="宋体" w:hAnsi="宋体" w:cs="宋体"/>
                <w:spacing w:val="-13"/>
                <w:sz w:val="24"/>
                <w:szCs w:val="24"/>
              </w:rPr>
              <w:t>目</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
                <w:sz w:val="24"/>
                <w:szCs w:val="24"/>
              </w:rPr>
              <w:t>前绿化带植物生长情况良</w:t>
            </w:r>
            <w:r>
              <w:rPr>
                <w:rFonts w:ascii="宋体" w:hAnsi="宋体" w:cs="宋体"/>
                <w:spacing w:val="-10"/>
                <w:sz w:val="24"/>
                <w:szCs w:val="24"/>
              </w:rPr>
              <w:t>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431" w:type="dxa"/>
            <w:vMerge w:val="continue"/>
            <w:tcBorders>
              <w:top w:val="nil"/>
              <w:bottom w:val="nil"/>
            </w:tcBorders>
            <w:textDirection w:val="tbRlV"/>
            <w:vAlign w:val="center"/>
          </w:tcPr>
          <w:p>
            <w:pPr>
              <w:jc w:val="center"/>
              <w:rPr>
                <w:rFonts w:ascii="黑体"/>
                <w:sz w:val="24"/>
                <w:szCs w:val="24"/>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4"/>
                <w:sz w:val="24"/>
                <w:szCs w:val="24"/>
              </w:rPr>
              <w:t>噪声</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环境保护</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措施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z w:val="24"/>
                <w:szCs w:val="24"/>
              </w:rPr>
            </w:pPr>
            <w:r>
              <w:rPr>
                <w:rFonts w:ascii="宋体" w:hAnsi="宋体" w:cs="宋体"/>
                <w:spacing w:val="-8"/>
                <w:sz w:val="24"/>
                <w:szCs w:val="24"/>
              </w:rPr>
              <w:t>施工期噪声执行《建筑施工</w:t>
            </w:r>
            <w:r>
              <w:rPr>
                <w:rFonts w:ascii="宋体" w:hAnsi="宋体" w:cs="宋体"/>
                <w:spacing w:val="-14"/>
                <w:sz w:val="24"/>
                <w:szCs w:val="24"/>
              </w:rPr>
              <w:t>场界噪声限值》</w:t>
            </w:r>
            <w:r>
              <w:rPr>
                <w:rFonts w:eastAsia="Times New Roman"/>
                <w:spacing w:val="-2"/>
                <w:sz w:val="24"/>
                <w:szCs w:val="24"/>
              </w:rPr>
              <w:t>(GB12523-90</w:t>
            </w:r>
            <w:r>
              <w:rPr>
                <w:rFonts w:hint="eastAsia"/>
                <w:spacing w:val="-2"/>
                <w:sz w:val="24"/>
                <w:szCs w:val="24"/>
                <w:lang w:eastAsia="zh-CN"/>
              </w:rPr>
              <w:t>)</w:t>
            </w:r>
            <w:r>
              <w:rPr>
                <w:rFonts w:ascii="宋体" w:hAnsi="宋体" w:cs="宋体"/>
                <w:spacing w:val="-2"/>
                <w:sz w:val="24"/>
                <w:szCs w:val="24"/>
              </w:rPr>
              <w:t>相关标准。</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据调查，本工程尽量选用低噪声的施工机械，在施工期间混凝土搅拌安排在现场施工，采用商品混凝土；合理布局施工设备、安排施工活动时间、尽量避免夜间施工、减少了施工噪声扰民现象</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pacing w:val="-13"/>
                <w:sz w:val="24"/>
                <w:szCs w:val="24"/>
              </w:rPr>
            </w:pPr>
            <w:r>
              <w:rPr>
                <w:rFonts w:ascii="宋体" w:hAnsi="宋体" w:cs="宋体"/>
                <w:spacing w:val="-13"/>
                <w:sz w:val="24"/>
                <w:szCs w:val="24"/>
              </w:rPr>
              <w:t>已落实，控制施工时间，设</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z w:val="24"/>
                <w:szCs w:val="24"/>
              </w:rPr>
            </w:pPr>
            <w:r>
              <w:rPr>
                <w:rFonts w:ascii="宋体" w:hAnsi="宋体" w:cs="宋体"/>
                <w:spacing w:val="-13"/>
                <w:sz w:val="24"/>
                <w:szCs w:val="24"/>
              </w:rPr>
              <w:t>备选用合理，噪声对周边</w:t>
            </w:r>
            <w:r>
              <w:rPr>
                <w:rFonts w:ascii="宋体" w:hAnsi="宋体" w:cs="宋体"/>
                <w:spacing w:val="-15"/>
                <w:sz w:val="24"/>
                <w:szCs w:val="24"/>
              </w:rPr>
              <w:t>环</w:t>
            </w:r>
            <w:r>
              <w:rPr>
                <w:rFonts w:ascii="宋体" w:hAnsi="宋体" w:cs="宋体"/>
                <w:spacing w:val="-1"/>
                <w:sz w:val="24"/>
                <w:szCs w:val="24"/>
              </w:rPr>
              <w:t>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trPr>
        <w:tc>
          <w:tcPr>
            <w:tcW w:w="431" w:type="dxa"/>
            <w:vMerge w:val="continue"/>
            <w:tcBorders>
              <w:top w:val="nil"/>
              <w:bottom w:val="nil"/>
            </w:tcBorders>
            <w:textDirection w:val="tbRlV"/>
            <w:vAlign w:val="center"/>
          </w:tcPr>
          <w:p>
            <w:pPr>
              <w:jc w:val="center"/>
              <w:rPr>
                <w:rFonts w:ascii="黑体"/>
                <w:sz w:val="24"/>
                <w:szCs w:val="24"/>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z w:val="24"/>
                <w:szCs w:val="24"/>
              </w:rPr>
            </w:pPr>
            <w:r>
              <w:rPr>
                <w:rFonts w:ascii="宋体" w:hAnsi="宋体" w:cs="宋体"/>
                <w:spacing w:val="-3"/>
                <w:sz w:val="24"/>
                <w:szCs w:val="24"/>
              </w:rPr>
              <w:t>大气环境保护</w:t>
            </w:r>
            <w:r>
              <w:rPr>
                <w:rFonts w:ascii="宋体" w:hAnsi="宋体" w:cs="宋体"/>
                <w:spacing w:val="-2"/>
                <w:sz w:val="24"/>
                <w:szCs w:val="24"/>
              </w:rPr>
              <w:t>措施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before="69" w:line="240" w:lineRule="auto"/>
              <w:ind w:firstLine="111"/>
              <w:jc w:val="center"/>
              <w:textAlignment w:val="auto"/>
              <w:rPr>
                <w:rFonts w:ascii="宋体" w:hAnsi="宋体" w:cs="宋体"/>
                <w:sz w:val="24"/>
                <w:szCs w:val="24"/>
              </w:rPr>
            </w:pPr>
            <w:r>
              <w:rPr>
                <w:rFonts w:ascii="宋体" w:hAnsi="宋体" w:cs="宋体"/>
                <w:spacing w:val="-3"/>
                <w:sz w:val="24"/>
                <w:szCs w:val="24"/>
              </w:rPr>
              <w:t>对干燥的作业面适当喷水，</w:t>
            </w:r>
            <w:r>
              <w:rPr>
                <w:rFonts w:ascii="宋体" w:hAnsi="宋体" w:cs="宋体"/>
                <w:spacing w:val="-5"/>
                <w:sz w:val="24"/>
                <w:szCs w:val="24"/>
              </w:rPr>
              <w:t>使</w:t>
            </w:r>
            <w:r>
              <w:rPr>
                <w:rFonts w:hint="eastAsia" w:ascii="宋体" w:hAnsi="宋体" w:cs="宋体"/>
                <w:spacing w:val="-5"/>
                <w:sz w:val="24"/>
                <w:szCs w:val="24"/>
              </w:rPr>
              <w:t>作业面</w:t>
            </w:r>
            <w:r>
              <w:rPr>
                <w:rFonts w:ascii="宋体" w:hAnsi="宋体" w:cs="宋体"/>
                <w:spacing w:val="-5"/>
                <w:sz w:val="24"/>
                <w:szCs w:val="24"/>
              </w:rPr>
              <w:t>保持一定的湿度，</w:t>
            </w:r>
            <w:r>
              <w:rPr>
                <w:rFonts w:ascii="宋体" w:hAnsi="宋体" w:cs="宋体"/>
                <w:spacing w:val="-1"/>
                <w:sz w:val="24"/>
                <w:szCs w:val="24"/>
              </w:rPr>
              <w:t>减少扬尘量。</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pacing w:val="-14"/>
                <w:sz w:val="24"/>
                <w:szCs w:val="24"/>
              </w:rPr>
            </w:pPr>
            <w:r>
              <w:rPr>
                <w:rFonts w:ascii="宋体" w:hAnsi="宋体" w:cs="宋体"/>
                <w:spacing w:val="-14"/>
                <w:sz w:val="24"/>
                <w:szCs w:val="24"/>
              </w:rPr>
              <w:t>据调查，施工期间，在干燥天气时，施工单位对施工工地及车辆行驶的路面进行</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pacing w:val="-14"/>
                <w:sz w:val="24"/>
                <w:szCs w:val="24"/>
              </w:rPr>
            </w:pPr>
            <w:r>
              <w:rPr>
                <w:rFonts w:ascii="宋体" w:hAnsi="宋体" w:cs="宋体"/>
                <w:spacing w:val="-14"/>
                <w:sz w:val="24"/>
                <w:szCs w:val="24"/>
              </w:rPr>
              <w:t>了洒水；运输沙土等易起尘</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pacing w:val="-14"/>
                <w:sz w:val="24"/>
                <w:szCs w:val="24"/>
              </w:rPr>
            </w:pPr>
            <w:r>
              <w:rPr>
                <w:rFonts w:ascii="宋体" w:hAnsi="宋体" w:cs="宋体"/>
                <w:spacing w:val="-14"/>
                <w:sz w:val="24"/>
                <w:szCs w:val="24"/>
              </w:rPr>
              <w:t>的建筑材料时做到了加盖</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pacing w:val="-14"/>
                <w:sz w:val="24"/>
                <w:szCs w:val="24"/>
              </w:rPr>
            </w:pPr>
            <w:r>
              <w:rPr>
                <w:rFonts w:hint="eastAsia" w:ascii="宋体" w:hAnsi="宋体" w:cs="宋体"/>
                <w:spacing w:val="-14"/>
                <w:sz w:val="24"/>
                <w:szCs w:val="24"/>
              </w:rPr>
              <w:t>篷布</w:t>
            </w:r>
            <w:r>
              <w:rPr>
                <w:rFonts w:ascii="宋体" w:hAnsi="宋体" w:cs="宋体"/>
                <w:spacing w:val="-14"/>
                <w:sz w:val="24"/>
                <w:szCs w:val="24"/>
              </w:rPr>
              <w:t>；尽量避免了建材的露</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4"/>
                <w:sz w:val="24"/>
                <w:szCs w:val="24"/>
              </w:rPr>
              <w:t>天堆放。</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before="100" w:line="240" w:lineRule="auto"/>
              <w:ind w:firstLine="123"/>
              <w:jc w:val="center"/>
              <w:textAlignment w:val="auto"/>
              <w:rPr>
                <w:rFonts w:ascii="宋体" w:hAnsi="宋体" w:cs="宋体"/>
                <w:spacing w:val="-14"/>
                <w:sz w:val="24"/>
                <w:szCs w:val="24"/>
              </w:rPr>
            </w:pPr>
            <w:r>
              <w:rPr>
                <w:rFonts w:ascii="宋体" w:hAnsi="宋体" w:cs="宋体"/>
                <w:spacing w:val="-14"/>
                <w:sz w:val="24"/>
                <w:szCs w:val="24"/>
              </w:rPr>
              <w:t>经调查，项目施工期间，对</w:t>
            </w:r>
          </w:p>
          <w:p>
            <w:pPr>
              <w:keepNext w:val="0"/>
              <w:keepLines w:val="0"/>
              <w:pageBreakBefore w:val="0"/>
              <w:widowControl w:val="0"/>
              <w:kinsoku/>
              <w:wordWrap/>
              <w:overflowPunct/>
              <w:topLinePunct w:val="0"/>
              <w:autoSpaceDE/>
              <w:autoSpaceDN/>
              <w:bidi w:val="0"/>
              <w:adjustRightInd/>
              <w:snapToGrid/>
              <w:spacing w:before="100" w:line="240" w:lineRule="auto"/>
              <w:ind w:firstLine="123"/>
              <w:jc w:val="center"/>
              <w:textAlignment w:val="auto"/>
              <w:rPr>
                <w:rFonts w:ascii="宋体" w:hAnsi="宋体" w:cs="宋体"/>
                <w:spacing w:val="-14"/>
                <w:sz w:val="24"/>
                <w:szCs w:val="24"/>
              </w:rPr>
            </w:pPr>
            <w:r>
              <w:rPr>
                <w:rFonts w:ascii="宋体" w:hAnsi="宋体" w:cs="宋体"/>
                <w:spacing w:val="-14"/>
                <w:sz w:val="24"/>
                <w:szCs w:val="24"/>
              </w:rPr>
              <w:t>施工工地及车辆行驶的路</w:t>
            </w:r>
          </w:p>
          <w:p>
            <w:pPr>
              <w:keepNext w:val="0"/>
              <w:keepLines w:val="0"/>
              <w:pageBreakBefore w:val="0"/>
              <w:widowControl w:val="0"/>
              <w:kinsoku/>
              <w:wordWrap/>
              <w:overflowPunct/>
              <w:topLinePunct w:val="0"/>
              <w:autoSpaceDE/>
              <w:autoSpaceDN/>
              <w:bidi w:val="0"/>
              <w:adjustRightInd/>
              <w:snapToGrid/>
              <w:spacing w:before="100" w:line="240" w:lineRule="auto"/>
              <w:ind w:firstLine="123"/>
              <w:jc w:val="center"/>
              <w:textAlignment w:val="auto"/>
              <w:rPr>
                <w:rFonts w:ascii="宋体" w:hAnsi="宋体" w:cs="宋体"/>
                <w:spacing w:val="-14"/>
                <w:sz w:val="24"/>
                <w:szCs w:val="24"/>
              </w:rPr>
            </w:pPr>
            <w:r>
              <w:rPr>
                <w:rFonts w:ascii="宋体" w:hAnsi="宋体" w:cs="宋体"/>
                <w:spacing w:val="-14"/>
                <w:sz w:val="24"/>
                <w:szCs w:val="24"/>
              </w:rPr>
              <w:t>面进行了洒水，减少了扬尘</w:t>
            </w:r>
          </w:p>
          <w:p>
            <w:pPr>
              <w:keepNext w:val="0"/>
              <w:keepLines w:val="0"/>
              <w:pageBreakBefore w:val="0"/>
              <w:widowControl w:val="0"/>
              <w:kinsoku/>
              <w:wordWrap/>
              <w:overflowPunct/>
              <w:topLinePunct w:val="0"/>
              <w:autoSpaceDE/>
              <w:autoSpaceDN/>
              <w:bidi w:val="0"/>
              <w:adjustRightInd/>
              <w:snapToGrid/>
              <w:spacing w:before="100" w:line="240" w:lineRule="auto"/>
              <w:ind w:firstLine="123"/>
              <w:jc w:val="center"/>
              <w:textAlignment w:val="auto"/>
              <w:rPr>
                <w:rFonts w:ascii="宋体" w:hAnsi="宋体" w:cs="宋体"/>
                <w:sz w:val="24"/>
                <w:szCs w:val="24"/>
              </w:rPr>
            </w:pPr>
            <w:r>
              <w:rPr>
                <w:rFonts w:ascii="宋体" w:hAnsi="宋体" w:cs="宋体"/>
                <w:spacing w:val="-14"/>
                <w:sz w:val="24"/>
                <w:szCs w:val="24"/>
              </w:rPr>
              <w:t>对周边居民的影响。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431" w:type="dxa"/>
            <w:vMerge w:val="continue"/>
            <w:tcBorders>
              <w:top w:val="nil"/>
            </w:tcBorders>
            <w:textDirection w:val="tbRlV"/>
            <w:vAlign w:val="center"/>
          </w:tcPr>
          <w:p>
            <w:pPr>
              <w:jc w:val="center"/>
              <w:rPr>
                <w:rFonts w:ascii="黑体"/>
                <w:sz w:val="24"/>
                <w:szCs w:val="24"/>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cs="宋体"/>
                <w:sz w:val="24"/>
                <w:szCs w:val="24"/>
              </w:rPr>
            </w:pPr>
            <w:r>
              <w:rPr>
                <w:rFonts w:ascii="宋体" w:hAnsi="宋体" w:cs="宋体"/>
                <w:spacing w:val="-3"/>
                <w:sz w:val="24"/>
                <w:szCs w:val="24"/>
              </w:rPr>
              <w:t>水环境保</w:t>
            </w:r>
            <w:r>
              <w:rPr>
                <w:rFonts w:ascii="宋体" w:hAnsi="宋体" w:cs="宋体"/>
                <w:spacing w:val="-2"/>
                <w:sz w:val="24"/>
                <w:szCs w:val="24"/>
              </w:rPr>
              <w:t>护措施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before="60" w:line="240" w:lineRule="auto"/>
              <w:ind w:firstLine="1290"/>
              <w:textAlignment w:val="auto"/>
              <w:rPr>
                <w:rFonts w:eastAsia="Times New Roman"/>
                <w:sz w:val="24"/>
                <w:szCs w:val="24"/>
              </w:rPr>
            </w:pPr>
            <w:r>
              <w:rPr>
                <w:rFonts w:eastAsia="Times New Roman"/>
                <w:sz w:val="24"/>
                <w:szCs w:val="24"/>
              </w:rPr>
              <w:t>/</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before="52" w:line="240" w:lineRule="auto"/>
              <w:ind w:firstLine="172"/>
              <w:jc w:val="center"/>
              <w:textAlignment w:val="auto"/>
              <w:rPr>
                <w:rFonts w:ascii="宋体" w:hAnsi="宋体" w:cs="宋体"/>
                <w:sz w:val="24"/>
                <w:szCs w:val="24"/>
              </w:rPr>
            </w:pPr>
            <w:r>
              <w:rPr>
                <w:rFonts w:ascii="宋体" w:hAnsi="宋体" w:cs="宋体"/>
                <w:spacing w:val="-1"/>
                <w:sz w:val="24"/>
                <w:szCs w:val="24"/>
              </w:rPr>
              <w:t>施工人员生活污水经临时生活区设置的化粪池</w:t>
            </w:r>
            <w:r>
              <w:rPr>
                <w:rFonts w:hint="eastAsia" w:ascii="宋体" w:hAnsi="宋体" w:cs="宋体"/>
                <w:spacing w:val="-1"/>
                <w:sz w:val="24"/>
                <w:szCs w:val="24"/>
                <w:lang w:eastAsia="zh-CN"/>
              </w:rPr>
              <w:t>、</w:t>
            </w:r>
            <w:r>
              <w:rPr>
                <w:rFonts w:hint="eastAsia" w:ascii="宋体" w:hAnsi="宋体" w:cs="宋体"/>
                <w:spacing w:val="-1"/>
                <w:sz w:val="24"/>
                <w:szCs w:val="24"/>
                <w:lang w:val="en-US" w:eastAsia="zh-CN"/>
              </w:rPr>
              <w:t>隔油池及地埋式污水处理厂后用于厂区绿化机</w:t>
            </w:r>
            <w:r>
              <w:rPr>
                <w:rFonts w:ascii="宋体" w:hAnsi="宋体" w:cs="宋体"/>
                <w:spacing w:val="-3"/>
                <w:sz w:val="24"/>
                <w:szCs w:val="24"/>
              </w:rPr>
              <w:t>。</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before="60" w:line="240" w:lineRule="auto"/>
              <w:ind w:firstLine="480" w:firstLineChars="200"/>
              <w:textAlignment w:val="auto"/>
              <w:rPr>
                <w:rFonts w:hint="default" w:eastAsia="宋体"/>
                <w:sz w:val="24"/>
                <w:szCs w:val="24"/>
                <w:lang w:val="en-US" w:eastAsia="zh-CN"/>
              </w:rPr>
            </w:pPr>
            <w:r>
              <w:rPr>
                <w:rFonts w:hint="eastAsia"/>
                <w:sz w:val="24"/>
                <w:szCs w:val="24"/>
                <w:lang w:val="en-US" w:eastAsia="zh-CN"/>
              </w:rPr>
              <w:t>经调查，已落实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3" w:hRule="atLeast"/>
        </w:trPr>
        <w:tc>
          <w:tcPr>
            <w:tcW w:w="431" w:type="dxa"/>
            <w:vMerge w:val="restart"/>
            <w:tcBorders>
              <w:bottom w:val="nil"/>
            </w:tcBorders>
            <w:textDirection w:val="tbRlV"/>
            <w:vAlign w:val="center"/>
          </w:tcPr>
          <w:p>
            <w:pPr>
              <w:spacing w:before="105" w:line="180" w:lineRule="auto"/>
              <w:jc w:val="center"/>
              <w:rPr>
                <w:rFonts w:ascii="宋体" w:hAnsi="宋体" w:cs="宋体"/>
                <w:sz w:val="24"/>
                <w:szCs w:val="24"/>
              </w:rPr>
            </w:pPr>
            <w:r>
              <w:rPr>
                <w:rFonts w:hint="eastAsia" w:ascii="宋体" w:hAnsi="宋体" w:cs="宋体"/>
                <w:sz w:val="24"/>
                <w:szCs w:val="24"/>
              </w:rPr>
              <w:t>运行期</w:t>
            </w: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4"/>
                <w:sz w:val="24"/>
                <w:szCs w:val="24"/>
              </w:rPr>
              <w:t>噪声</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环境保护</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措施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before="53" w:line="240" w:lineRule="auto"/>
              <w:ind w:firstLine="171"/>
              <w:jc w:val="center"/>
              <w:textAlignment w:val="auto"/>
              <w:rPr>
                <w:rFonts w:ascii="宋体" w:hAnsi="宋体" w:cs="宋体"/>
                <w:sz w:val="24"/>
                <w:szCs w:val="24"/>
              </w:rPr>
            </w:pPr>
            <w:r>
              <w:rPr>
                <w:rFonts w:ascii="宋体" w:hAnsi="宋体" w:cs="宋体"/>
                <w:spacing w:val="-1"/>
                <w:sz w:val="24"/>
                <w:szCs w:val="24"/>
              </w:rPr>
              <w:t>对产生噪声的</w:t>
            </w:r>
            <w:r>
              <w:rPr>
                <w:rFonts w:hint="eastAsia" w:ascii="宋体" w:hAnsi="宋体" w:cs="宋体"/>
                <w:spacing w:val="-1"/>
                <w:sz w:val="24"/>
                <w:szCs w:val="24"/>
              </w:rPr>
              <w:t>设备</w:t>
            </w:r>
            <w:r>
              <w:rPr>
                <w:rFonts w:ascii="宋体" w:hAnsi="宋体" w:cs="宋体"/>
                <w:spacing w:val="-1"/>
                <w:sz w:val="24"/>
                <w:szCs w:val="24"/>
              </w:rPr>
              <w:t>需采取</w:t>
            </w:r>
            <w:r>
              <w:rPr>
                <w:rFonts w:ascii="宋体" w:hAnsi="宋体" w:cs="宋体"/>
                <w:spacing w:val="-8"/>
                <w:sz w:val="24"/>
                <w:szCs w:val="24"/>
              </w:rPr>
              <w:t>合理布局、隔音、消声、减</w:t>
            </w:r>
            <w:r>
              <w:rPr>
                <w:rFonts w:ascii="宋体" w:hAnsi="宋体" w:cs="宋体"/>
                <w:spacing w:val="-15"/>
                <w:sz w:val="24"/>
                <w:szCs w:val="24"/>
              </w:rPr>
              <w:t>振等措施，厂界噪声执行</w:t>
            </w:r>
          </w:p>
          <w:p>
            <w:pPr>
              <w:keepNext w:val="0"/>
              <w:keepLines w:val="0"/>
              <w:pageBreakBefore w:val="0"/>
              <w:widowControl w:val="0"/>
              <w:kinsoku/>
              <w:wordWrap/>
              <w:overflowPunct/>
              <w:topLinePunct w:val="0"/>
              <w:autoSpaceDE/>
              <w:autoSpaceDN/>
              <w:bidi w:val="0"/>
              <w:adjustRightInd/>
              <w:snapToGrid/>
              <w:spacing w:before="100" w:line="240" w:lineRule="auto"/>
              <w:ind w:firstLine="113"/>
              <w:jc w:val="center"/>
              <w:textAlignment w:val="auto"/>
              <w:rPr>
                <w:rFonts w:ascii="宋体" w:hAnsi="宋体" w:cs="宋体"/>
                <w:sz w:val="24"/>
                <w:szCs w:val="24"/>
              </w:rPr>
            </w:pPr>
            <w:r>
              <w:rPr>
                <w:rFonts w:ascii="宋体" w:hAnsi="宋体" w:cs="宋体"/>
                <w:spacing w:val="-1"/>
                <w:sz w:val="24"/>
                <w:szCs w:val="24"/>
              </w:rPr>
              <w:t>《工业企业厂界噪声标准》</w:t>
            </w:r>
            <w:r>
              <w:rPr>
                <w:rFonts w:eastAsia="Times New Roman"/>
                <w:spacing w:val="-1"/>
                <w:sz w:val="24"/>
                <w:szCs w:val="24"/>
              </w:rPr>
              <w:t>(GB12348—2008)</w:t>
            </w:r>
            <w:r>
              <w:rPr>
                <w:rFonts w:hint="eastAsia"/>
                <w:spacing w:val="-1"/>
                <w:sz w:val="24"/>
                <w:szCs w:val="24"/>
              </w:rPr>
              <w:t>1</w:t>
            </w:r>
            <w:r>
              <w:rPr>
                <w:rFonts w:ascii="宋体" w:hAnsi="宋体" w:cs="宋体"/>
                <w:spacing w:val="-1"/>
                <w:sz w:val="24"/>
                <w:szCs w:val="24"/>
              </w:rPr>
              <w:t>类标</w:t>
            </w:r>
            <w:r>
              <w:rPr>
                <w:rFonts w:ascii="宋体" w:hAnsi="宋体" w:cs="宋体"/>
                <w:spacing w:val="-10"/>
                <w:sz w:val="24"/>
                <w:szCs w:val="24"/>
              </w:rPr>
              <w:t>准。</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before="211" w:line="240" w:lineRule="auto"/>
              <w:ind w:left="112" w:right="101"/>
              <w:jc w:val="center"/>
              <w:textAlignment w:val="auto"/>
              <w:rPr>
                <w:rFonts w:ascii="宋体" w:hAnsi="宋体" w:cs="宋体"/>
                <w:sz w:val="24"/>
                <w:szCs w:val="24"/>
              </w:rPr>
            </w:pPr>
            <w:r>
              <w:rPr>
                <w:rFonts w:ascii="宋体" w:hAnsi="宋体" w:cs="宋体"/>
                <w:spacing w:val="-13"/>
                <w:sz w:val="24"/>
                <w:szCs w:val="24"/>
              </w:rPr>
              <w:t>据调查，工程在设备选型上</w:t>
            </w:r>
            <w:r>
              <w:rPr>
                <w:rFonts w:ascii="宋体" w:hAnsi="宋体" w:cs="宋体"/>
                <w:spacing w:val="-14"/>
                <w:sz w:val="24"/>
                <w:szCs w:val="24"/>
              </w:rPr>
              <w:t>选择低噪声变压器，并且已</w:t>
            </w:r>
            <w:r>
              <w:rPr>
                <w:rFonts w:ascii="宋体" w:hAnsi="宋体" w:cs="宋体"/>
                <w:spacing w:val="10"/>
                <w:sz w:val="24"/>
                <w:szCs w:val="24"/>
              </w:rPr>
              <w:t>制定相关计划对设备进行</w:t>
            </w:r>
            <w:r>
              <w:rPr>
                <w:rFonts w:ascii="宋体" w:hAnsi="宋体" w:cs="宋体"/>
                <w:spacing w:val="-16"/>
                <w:sz w:val="24"/>
                <w:szCs w:val="24"/>
              </w:rPr>
              <w:t>定期维护保养，以免因</w:t>
            </w:r>
            <w:r>
              <w:rPr>
                <w:rFonts w:hint="eastAsia" w:ascii="宋体" w:hAnsi="宋体" w:cs="宋体"/>
                <w:spacing w:val="-16"/>
                <w:sz w:val="24"/>
                <w:szCs w:val="24"/>
                <w:lang w:eastAsia="zh-CN"/>
              </w:rPr>
              <w:t>电气设备</w:t>
            </w:r>
            <w:r>
              <w:rPr>
                <w:rFonts w:ascii="宋体" w:hAnsi="宋体" w:cs="宋体"/>
                <w:spacing w:val="-2"/>
                <w:sz w:val="24"/>
                <w:szCs w:val="24"/>
              </w:rPr>
              <w:t>老化产生机械噪声。</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before="209" w:line="240" w:lineRule="auto"/>
              <w:ind w:firstLine="115"/>
              <w:jc w:val="center"/>
              <w:textAlignment w:val="auto"/>
              <w:rPr>
                <w:rFonts w:ascii="宋体" w:hAnsi="宋体" w:cs="宋体"/>
                <w:sz w:val="24"/>
                <w:szCs w:val="24"/>
              </w:rPr>
            </w:pPr>
            <w:r>
              <w:rPr>
                <w:rFonts w:ascii="宋体" w:hAnsi="宋体" w:cs="宋体"/>
                <w:spacing w:val="-13"/>
                <w:sz w:val="24"/>
                <w:szCs w:val="24"/>
              </w:rPr>
              <w:t>运营期：根据声环境监测结</w:t>
            </w:r>
          </w:p>
          <w:p>
            <w:pPr>
              <w:keepNext w:val="0"/>
              <w:keepLines w:val="0"/>
              <w:pageBreakBefore w:val="0"/>
              <w:widowControl w:val="0"/>
              <w:kinsoku/>
              <w:wordWrap/>
              <w:overflowPunct/>
              <w:topLinePunct w:val="0"/>
              <w:autoSpaceDE/>
              <w:autoSpaceDN/>
              <w:bidi w:val="0"/>
              <w:adjustRightInd/>
              <w:snapToGrid/>
              <w:spacing w:before="101" w:line="240" w:lineRule="auto"/>
              <w:ind w:firstLine="119"/>
              <w:jc w:val="center"/>
              <w:textAlignment w:val="auto"/>
              <w:rPr>
                <w:rFonts w:ascii="宋体" w:hAnsi="宋体" w:cs="宋体"/>
                <w:sz w:val="24"/>
                <w:szCs w:val="24"/>
              </w:rPr>
            </w:pPr>
            <w:r>
              <w:rPr>
                <w:rFonts w:ascii="宋体" w:hAnsi="宋体" w:cs="宋体"/>
                <w:spacing w:val="-18"/>
                <w:sz w:val="24"/>
                <w:szCs w:val="24"/>
              </w:rPr>
              <w:t>果</w:t>
            </w:r>
            <w:r>
              <w:rPr>
                <w:rFonts w:hint="eastAsia" w:ascii="宋体" w:hAnsi="宋体" w:cs="宋体"/>
                <w:spacing w:val="-18"/>
                <w:sz w:val="24"/>
                <w:szCs w:val="24"/>
                <w:lang w:eastAsia="zh-CN"/>
              </w:rPr>
              <w:t>，</w:t>
            </w:r>
            <w:r>
              <w:rPr>
                <w:rFonts w:ascii="宋体" w:hAnsi="宋体" w:cs="宋体"/>
                <w:spacing w:val="-18"/>
                <w:sz w:val="24"/>
                <w:szCs w:val="24"/>
              </w:rPr>
              <w:t>厂界噪声均符合工业</w:t>
            </w:r>
          </w:p>
          <w:p>
            <w:pPr>
              <w:keepNext w:val="0"/>
              <w:keepLines w:val="0"/>
              <w:pageBreakBefore w:val="0"/>
              <w:widowControl w:val="0"/>
              <w:kinsoku/>
              <w:wordWrap/>
              <w:overflowPunct/>
              <w:topLinePunct w:val="0"/>
              <w:autoSpaceDE/>
              <w:autoSpaceDN/>
              <w:bidi w:val="0"/>
              <w:adjustRightInd/>
              <w:snapToGrid/>
              <w:spacing w:before="100" w:line="240" w:lineRule="auto"/>
              <w:ind w:firstLine="440"/>
              <w:textAlignment w:val="auto"/>
              <w:rPr>
                <w:rFonts w:ascii="宋体" w:hAnsi="宋体" w:cs="宋体"/>
                <w:sz w:val="24"/>
                <w:szCs w:val="24"/>
              </w:rPr>
            </w:pPr>
            <w:r>
              <w:rPr>
                <w:rFonts w:ascii="宋体" w:hAnsi="宋体" w:cs="宋体"/>
                <w:spacing w:val="-2"/>
                <w:sz w:val="24"/>
                <w:szCs w:val="24"/>
              </w:rPr>
              <w:t>企业厂界噪声标准</w:t>
            </w:r>
          </w:p>
          <w:p>
            <w:pPr>
              <w:keepNext w:val="0"/>
              <w:keepLines w:val="0"/>
              <w:pageBreakBefore w:val="0"/>
              <w:widowControl w:val="0"/>
              <w:kinsoku/>
              <w:wordWrap/>
              <w:overflowPunct/>
              <w:topLinePunct w:val="0"/>
              <w:autoSpaceDE/>
              <w:autoSpaceDN/>
              <w:bidi w:val="0"/>
              <w:adjustRightInd/>
              <w:snapToGrid/>
              <w:spacing w:before="100" w:line="240" w:lineRule="auto"/>
              <w:ind w:firstLine="157"/>
              <w:jc w:val="center"/>
              <w:textAlignment w:val="auto"/>
              <w:rPr>
                <w:rFonts w:ascii="宋体" w:hAnsi="宋体" w:cs="宋体"/>
                <w:sz w:val="24"/>
                <w:szCs w:val="24"/>
              </w:rPr>
            </w:pPr>
            <w:r>
              <w:rPr>
                <w:rFonts w:ascii="宋体" w:hAnsi="宋体" w:cs="宋体"/>
                <w:spacing w:val="-3"/>
                <w:sz w:val="24"/>
                <w:szCs w:val="24"/>
              </w:rPr>
              <w:t>（</w:t>
            </w:r>
            <w:r>
              <w:rPr>
                <w:rFonts w:eastAsia="Times New Roman"/>
                <w:spacing w:val="-3"/>
                <w:sz w:val="24"/>
                <w:szCs w:val="24"/>
              </w:rPr>
              <w:t>GB12348-90</w:t>
            </w:r>
            <w:r>
              <w:rPr>
                <w:rFonts w:ascii="宋体" w:hAnsi="宋体" w:cs="宋体"/>
                <w:spacing w:val="-3"/>
                <w:sz w:val="24"/>
                <w:szCs w:val="24"/>
              </w:rPr>
              <w:t>）中</w:t>
            </w:r>
            <w:r>
              <w:rPr>
                <w:rFonts w:hint="eastAsia"/>
                <w:spacing w:val="-3"/>
                <w:sz w:val="24"/>
                <w:szCs w:val="24"/>
              </w:rPr>
              <w:t>1</w:t>
            </w:r>
            <w:r>
              <w:rPr>
                <w:rFonts w:ascii="宋体" w:hAnsi="宋体" w:cs="宋体"/>
                <w:spacing w:val="-3"/>
                <w:sz w:val="24"/>
                <w:szCs w:val="24"/>
              </w:rPr>
              <w:t>类标</w:t>
            </w:r>
            <w:r>
              <w:rPr>
                <w:rFonts w:ascii="宋体" w:hAnsi="宋体" w:cs="宋体"/>
                <w:sz w:val="24"/>
                <w:szCs w:val="24"/>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431" w:type="dxa"/>
            <w:vMerge w:val="continue"/>
            <w:tcBorders>
              <w:top w:val="nil"/>
              <w:bottom w:val="nil"/>
            </w:tcBorders>
            <w:textDirection w:val="tbRlV"/>
            <w:vAlign w:val="center"/>
          </w:tcPr>
          <w:p>
            <w:pPr>
              <w:jc w:val="center"/>
              <w:rPr>
                <w:rFonts w:ascii="黑体"/>
                <w:sz w:val="24"/>
                <w:szCs w:val="24"/>
              </w:rPr>
            </w:pPr>
          </w:p>
        </w:tc>
        <w:tc>
          <w:tcPr>
            <w:tcW w:w="11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水环境保</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护措</w:t>
            </w:r>
            <w:r>
              <w:rPr>
                <w:rFonts w:ascii="宋体" w:hAnsi="宋体" w:cs="宋体"/>
                <w:sz w:val="24"/>
                <w:szCs w:val="24"/>
              </w:rPr>
              <w:t>施</w:t>
            </w:r>
          </w:p>
        </w:tc>
        <w:tc>
          <w:tcPr>
            <w:tcW w:w="26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174"/>
              <w:jc w:val="center"/>
              <w:textAlignment w:val="auto"/>
              <w:rPr>
                <w:rFonts w:ascii="宋体" w:hAnsi="宋体" w:cs="宋体"/>
                <w:sz w:val="24"/>
                <w:szCs w:val="24"/>
              </w:rPr>
            </w:pPr>
            <w:r>
              <w:rPr>
                <w:rFonts w:ascii="宋体" w:hAnsi="宋体" w:cs="宋体"/>
                <w:spacing w:val="-1"/>
                <w:sz w:val="24"/>
                <w:szCs w:val="24"/>
              </w:rPr>
              <w:t>按照雨污分流，清污</w:t>
            </w:r>
            <w:r>
              <w:rPr>
                <w:rFonts w:hint="eastAsia" w:ascii="宋体" w:hAnsi="宋体" w:cs="宋体"/>
                <w:spacing w:val="-1"/>
                <w:sz w:val="24"/>
                <w:szCs w:val="24"/>
                <w:lang w:val="en-US" w:eastAsia="zh-CN"/>
              </w:rPr>
              <w:t>分</w:t>
            </w:r>
            <w:r>
              <w:rPr>
                <w:rFonts w:ascii="宋体" w:hAnsi="宋体" w:cs="宋体"/>
                <w:spacing w:val="-1"/>
                <w:sz w:val="24"/>
                <w:szCs w:val="24"/>
              </w:rPr>
              <w:t>流的要求，建设厂区排</w:t>
            </w:r>
            <w:r>
              <w:rPr>
                <w:rFonts w:hint="eastAsia" w:ascii="宋体" w:hAnsi="宋体" w:cs="宋体"/>
                <w:spacing w:val="-1"/>
                <w:sz w:val="24"/>
                <w:szCs w:val="24"/>
              </w:rPr>
              <w:t>水</w:t>
            </w:r>
            <w:r>
              <w:rPr>
                <w:rFonts w:ascii="宋体" w:hAnsi="宋体" w:cs="宋体"/>
                <w:spacing w:val="-1"/>
                <w:sz w:val="24"/>
                <w:szCs w:val="24"/>
              </w:rPr>
              <w:t>系统，各类废水要全部</w:t>
            </w:r>
            <w:r>
              <w:rPr>
                <w:rFonts w:ascii="宋体" w:hAnsi="宋体" w:cs="宋体"/>
                <w:spacing w:val="-14"/>
                <w:sz w:val="24"/>
                <w:szCs w:val="24"/>
              </w:rPr>
              <w:t>经过一</w:t>
            </w:r>
            <w:r>
              <w:rPr>
                <w:rFonts w:ascii="宋体" w:hAnsi="宋体" w:cs="宋体"/>
                <w:spacing w:val="-1"/>
                <w:sz w:val="24"/>
                <w:szCs w:val="24"/>
              </w:rPr>
              <w:t>体化生活废水处理设施处理达绿化用水标准后回用</w:t>
            </w:r>
            <w:r>
              <w:rPr>
                <w:rFonts w:ascii="宋体" w:hAnsi="宋体" w:cs="宋体"/>
                <w:spacing w:val="-14"/>
                <w:sz w:val="24"/>
                <w:szCs w:val="24"/>
              </w:rPr>
              <w:t>于区域内绿化浇灌，严禁排</w:t>
            </w:r>
            <w:r>
              <w:rPr>
                <w:rFonts w:ascii="宋体" w:hAnsi="宋体" w:cs="宋体"/>
                <w:spacing w:val="-1"/>
                <w:sz w:val="24"/>
                <w:szCs w:val="24"/>
              </w:rPr>
              <w:t>入周围水体。</w:t>
            </w:r>
          </w:p>
        </w:tc>
        <w:tc>
          <w:tcPr>
            <w:tcW w:w="266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黑体"/>
                <w:sz w:val="24"/>
                <w:szCs w:val="24"/>
              </w:rPr>
            </w:pPr>
          </w:p>
          <w:p>
            <w:pPr>
              <w:keepNext w:val="0"/>
              <w:keepLines w:val="0"/>
              <w:pageBreakBefore w:val="0"/>
              <w:widowControl w:val="0"/>
              <w:kinsoku/>
              <w:wordWrap/>
              <w:overflowPunct/>
              <w:topLinePunct w:val="0"/>
              <w:autoSpaceDE/>
              <w:autoSpaceDN/>
              <w:bidi w:val="0"/>
              <w:adjustRightInd/>
              <w:snapToGrid/>
              <w:spacing w:before="68" w:line="240" w:lineRule="auto"/>
              <w:ind w:firstLine="112"/>
              <w:jc w:val="center"/>
              <w:textAlignment w:val="auto"/>
              <w:rPr>
                <w:rFonts w:ascii="宋体" w:hAnsi="宋体" w:cs="宋体"/>
                <w:sz w:val="24"/>
                <w:szCs w:val="24"/>
              </w:rPr>
            </w:pPr>
            <w:r>
              <w:rPr>
                <w:rFonts w:ascii="宋体" w:hAnsi="宋体" w:cs="宋体"/>
                <w:spacing w:val="-13"/>
                <w:sz w:val="24"/>
                <w:szCs w:val="24"/>
              </w:rPr>
              <w:t>据调查，项目区不产生生活</w:t>
            </w:r>
          </w:p>
          <w:p>
            <w:pPr>
              <w:keepNext w:val="0"/>
              <w:keepLines w:val="0"/>
              <w:pageBreakBefore w:val="0"/>
              <w:widowControl w:val="0"/>
              <w:kinsoku/>
              <w:wordWrap/>
              <w:overflowPunct/>
              <w:topLinePunct w:val="0"/>
              <w:autoSpaceDE/>
              <w:autoSpaceDN/>
              <w:bidi w:val="0"/>
              <w:adjustRightInd/>
              <w:snapToGrid/>
              <w:spacing w:before="100" w:line="240" w:lineRule="auto"/>
              <w:ind w:firstLine="115"/>
              <w:jc w:val="center"/>
              <w:textAlignment w:val="auto"/>
              <w:rPr>
                <w:rFonts w:ascii="宋体" w:hAnsi="宋体" w:cs="宋体"/>
                <w:sz w:val="24"/>
                <w:szCs w:val="24"/>
              </w:rPr>
            </w:pPr>
            <w:r>
              <w:rPr>
                <w:rFonts w:ascii="宋体" w:hAnsi="宋体" w:cs="宋体"/>
                <w:spacing w:val="-9"/>
                <w:sz w:val="24"/>
                <w:szCs w:val="24"/>
              </w:rPr>
              <w:t>污水和生产废水。项目</w:t>
            </w:r>
            <w:r>
              <w:rPr>
                <w:rFonts w:hint="eastAsia" w:ascii="宋体" w:hAnsi="宋体" w:cs="宋体"/>
                <w:spacing w:val="-9"/>
                <w:sz w:val="24"/>
                <w:szCs w:val="24"/>
                <w:lang w:eastAsia="zh-CN"/>
              </w:rPr>
              <w:t>区域</w:t>
            </w:r>
          </w:p>
          <w:p>
            <w:pPr>
              <w:keepNext w:val="0"/>
              <w:keepLines w:val="0"/>
              <w:pageBreakBefore w:val="0"/>
              <w:widowControl w:val="0"/>
              <w:kinsoku/>
              <w:wordWrap/>
              <w:overflowPunct/>
              <w:topLinePunct w:val="0"/>
              <w:autoSpaceDE/>
              <w:autoSpaceDN/>
              <w:bidi w:val="0"/>
              <w:adjustRightInd/>
              <w:snapToGrid/>
              <w:spacing w:before="100" w:line="240" w:lineRule="auto"/>
              <w:ind w:firstLine="176"/>
              <w:jc w:val="center"/>
              <w:textAlignment w:val="auto"/>
              <w:rPr>
                <w:rFonts w:ascii="宋体" w:hAnsi="宋体" w:cs="宋体"/>
                <w:sz w:val="24"/>
                <w:szCs w:val="24"/>
              </w:rPr>
            </w:pPr>
            <w:r>
              <w:rPr>
                <w:rFonts w:ascii="宋体" w:hAnsi="宋体" w:cs="宋体"/>
                <w:spacing w:val="-1"/>
                <w:sz w:val="24"/>
                <w:szCs w:val="24"/>
              </w:rPr>
              <w:t>水经排水渠汇集后排入附近沟渠；</w:t>
            </w:r>
          </w:p>
        </w:tc>
        <w:tc>
          <w:tcPr>
            <w:tcW w:w="2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4"/>
                <w:sz w:val="24"/>
                <w:szCs w:val="24"/>
              </w:rPr>
              <w:t>项目区值守人员较少，平时</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
                <w:sz w:val="24"/>
                <w:szCs w:val="24"/>
              </w:rPr>
              <w:t>生活</w:t>
            </w:r>
            <w:r>
              <w:rPr>
                <w:rFonts w:hint="eastAsia" w:ascii="宋体" w:hAnsi="宋体" w:cs="宋体"/>
                <w:spacing w:val="-1"/>
                <w:sz w:val="24"/>
                <w:szCs w:val="24"/>
                <w:lang w:val="en-US" w:eastAsia="zh-CN"/>
              </w:rPr>
              <w:t>产生的生活污水经</w:t>
            </w:r>
            <w:r>
              <w:rPr>
                <w:rFonts w:ascii="宋体" w:hAnsi="宋体" w:cs="宋体"/>
                <w:spacing w:val="-10"/>
                <w:sz w:val="24"/>
                <w:szCs w:val="24"/>
              </w:rPr>
              <w:t>，生活污水</w:t>
            </w:r>
            <w:r>
              <w:rPr>
                <w:rFonts w:ascii="宋体" w:hAnsi="宋体" w:cs="宋体"/>
                <w:spacing w:val="-1"/>
                <w:sz w:val="24"/>
                <w:szCs w:val="24"/>
              </w:rPr>
              <w:t>经化粪池预处理后用于</w:t>
            </w:r>
            <w:r>
              <w:rPr>
                <w:rFonts w:hint="eastAsia" w:ascii="宋体" w:hAnsi="宋体" w:cs="宋体"/>
                <w:spacing w:val="-1"/>
                <w:sz w:val="24"/>
                <w:szCs w:val="24"/>
                <w:lang w:val="en-US" w:eastAsia="zh-CN"/>
              </w:rPr>
              <w:t>厂区绿化和道路散洒</w:t>
            </w:r>
            <w:r>
              <w:rPr>
                <w:rFonts w:ascii="宋体" w:hAnsi="宋体" w:cs="宋体"/>
                <w:spacing w:val="-19"/>
                <w:sz w:val="24"/>
                <w:szCs w:val="24"/>
              </w:rPr>
              <w:t>，不外排，对周围水</w:t>
            </w:r>
            <w:r>
              <w:rPr>
                <w:rFonts w:ascii="宋体" w:hAnsi="宋体" w:cs="宋体"/>
                <w:spacing w:val="-1"/>
                <w:sz w:val="24"/>
                <w:szCs w:val="24"/>
              </w:rPr>
              <w:t>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431" w:type="dxa"/>
            <w:vMerge w:val="continue"/>
            <w:tcBorders>
              <w:top w:val="nil"/>
            </w:tcBorders>
            <w:textDirection w:val="tbRlV"/>
            <w:vAlign w:val="center"/>
          </w:tcPr>
          <w:p>
            <w:pPr>
              <w:jc w:val="center"/>
              <w:rPr>
                <w:rFonts w:ascii="黑体"/>
                <w:sz w:val="24"/>
                <w:szCs w:val="24"/>
              </w:rPr>
            </w:pPr>
          </w:p>
        </w:tc>
        <w:tc>
          <w:tcPr>
            <w:tcW w:w="1144" w:type="dxa"/>
            <w:vAlign w:val="center"/>
          </w:tcPr>
          <w:p>
            <w:pPr>
              <w:spacing w:before="69" w:line="240" w:lineRule="exact"/>
              <w:ind w:firstLine="152"/>
              <w:jc w:val="center"/>
              <w:rPr>
                <w:rFonts w:ascii="宋体" w:hAnsi="宋体" w:cs="宋体"/>
                <w:sz w:val="24"/>
                <w:szCs w:val="24"/>
              </w:rPr>
            </w:pPr>
            <w:r>
              <w:rPr>
                <w:rFonts w:ascii="宋体" w:hAnsi="宋体" w:cs="宋体"/>
                <w:spacing w:val="-2"/>
                <w:sz w:val="24"/>
                <w:szCs w:val="24"/>
              </w:rPr>
              <w:t>大气环境</w:t>
            </w:r>
          </w:p>
        </w:tc>
        <w:tc>
          <w:tcPr>
            <w:tcW w:w="2665" w:type="dxa"/>
            <w:vAlign w:val="center"/>
          </w:tcPr>
          <w:p>
            <w:pPr>
              <w:spacing w:before="102" w:line="240" w:lineRule="exact"/>
              <w:ind w:firstLine="104"/>
              <w:jc w:val="center"/>
              <w:rPr>
                <w:rFonts w:eastAsia="Times New Roman"/>
                <w:sz w:val="24"/>
                <w:szCs w:val="24"/>
              </w:rPr>
            </w:pPr>
            <w:r>
              <w:rPr>
                <w:rFonts w:eastAsia="Times New Roman"/>
                <w:sz w:val="24"/>
                <w:szCs w:val="24"/>
              </w:rPr>
              <w:t>/</w:t>
            </w:r>
          </w:p>
        </w:tc>
        <w:tc>
          <w:tcPr>
            <w:tcW w:w="2667" w:type="dxa"/>
            <w:vAlign w:val="center"/>
          </w:tcPr>
          <w:p>
            <w:pPr>
              <w:spacing w:before="102" w:line="240" w:lineRule="exact"/>
              <w:ind w:firstLine="1291"/>
              <w:jc w:val="center"/>
              <w:rPr>
                <w:rFonts w:eastAsia="Times New Roman"/>
                <w:sz w:val="24"/>
                <w:szCs w:val="24"/>
              </w:rPr>
            </w:pPr>
            <w:r>
              <w:rPr>
                <w:rFonts w:eastAsia="Times New Roman"/>
                <w:sz w:val="24"/>
                <w:szCs w:val="24"/>
              </w:rPr>
              <w:t>/</w:t>
            </w:r>
          </w:p>
        </w:tc>
        <w:tc>
          <w:tcPr>
            <w:tcW w:w="2671" w:type="dxa"/>
            <w:vAlign w:val="center"/>
          </w:tcPr>
          <w:p>
            <w:pPr>
              <w:spacing w:before="69" w:line="240" w:lineRule="exact"/>
              <w:ind w:firstLine="117"/>
              <w:jc w:val="center"/>
              <w:rPr>
                <w:rFonts w:hint="default" w:ascii="宋体" w:hAnsi="宋体" w:eastAsia="宋体" w:cs="宋体"/>
                <w:sz w:val="24"/>
                <w:szCs w:val="24"/>
                <w:lang w:val="en-US" w:eastAsia="zh-CN"/>
              </w:rPr>
            </w:pPr>
            <w:r>
              <w:rPr>
                <w:rFonts w:ascii="宋体" w:hAnsi="宋体" w:cs="宋体"/>
                <w:spacing w:val="-14"/>
                <w:sz w:val="24"/>
                <w:szCs w:val="24"/>
              </w:rPr>
              <w:t>经调查，项目运营期</w:t>
            </w:r>
            <w:r>
              <w:rPr>
                <w:rFonts w:hint="eastAsia" w:ascii="宋体" w:hAnsi="宋体" w:cs="宋体"/>
                <w:spacing w:val="-14"/>
                <w:sz w:val="24"/>
                <w:szCs w:val="24"/>
                <w:lang w:val="en-US" w:eastAsia="zh-CN"/>
              </w:rPr>
              <w:t>废气对周边产生环境影响较小</w:t>
            </w:r>
          </w:p>
        </w:tc>
      </w:tr>
    </w:tbl>
    <w:p>
      <w:pPr>
        <w:pStyle w:val="3"/>
        <w:tabs>
          <w:tab w:val="left" w:pos="7275"/>
        </w:tabs>
        <w:spacing w:beforeLines="50" w:afterLines="50" w:line="240" w:lineRule="auto"/>
        <w:rPr>
          <w:sz w:val="28"/>
          <w:szCs w:val="28"/>
        </w:rPr>
      </w:pPr>
      <w:bookmarkStart w:id="16" w:name="_Toc26321"/>
      <w:bookmarkStart w:id="17" w:name="_Toc14048"/>
      <w:r>
        <w:rPr>
          <w:rFonts w:hint="eastAsia"/>
          <w:sz w:val="28"/>
          <w:szCs w:val="28"/>
        </w:rPr>
        <w:t>表十 环境影响调查</w:t>
      </w:r>
      <w:bookmarkEnd w:id="16"/>
      <w:bookmarkEnd w:id="17"/>
    </w:p>
    <w:tbl>
      <w:tblPr>
        <w:tblStyle w:val="120"/>
        <w:tblW w:w="500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
        <w:gridCol w:w="1439"/>
        <w:gridCol w:w="77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36" w:type="dxa"/>
            <w:vMerge w:val="restart"/>
            <w:tcBorders>
              <w:bottom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
                <w:sz w:val="24"/>
                <w:szCs w:val="24"/>
              </w:rPr>
              <w:t>施工期</w:t>
            </w:r>
          </w:p>
        </w:tc>
        <w:tc>
          <w:tcPr>
            <w:tcW w:w="1438" w:type="dxa"/>
            <w:vAlign w:val="center"/>
          </w:tcPr>
          <w:p>
            <w:pPr>
              <w:spacing w:before="69" w:line="186" w:lineRule="auto"/>
              <w:ind w:firstLine="293"/>
              <w:jc w:val="both"/>
              <w:rPr>
                <w:rFonts w:ascii="宋体" w:hAnsi="宋体" w:cs="宋体"/>
                <w:sz w:val="24"/>
                <w:szCs w:val="24"/>
              </w:rPr>
            </w:pPr>
            <w:r>
              <w:rPr>
                <w:rFonts w:ascii="宋体" w:hAnsi="宋体" w:cs="宋体"/>
                <w:spacing w:val="-2"/>
                <w:sz w:val="24"/>
                <w:szCs w:val="24"/>
              </w:rPr>
              <w:t>生态影响</w:t>
            </w:r>
          </w:p>
        </w:tc>
        <w:tc>
          <w:tcPr>
            <w:tcW w:w="7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11"/>
                <w:position w:val="20"/>
                <w:sz w:val="24"/>
                <w:szCs w:val="24"/>
              </w:rPr>
              <w:t>施工完毕后，施工道路沿线及时进行了恢复及绿化，做好水流流失防护工作，</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ascii="宋体" w:hAnsi="宋体" w:cs="宋体"/>
                <w:sz w:val="24"/>
                <w:szCs w:val="24"/>
              </w:rPr>
            </w:pPr>
            <w:r>
              <w:rPr>
                <w:rFonts w:ascii="宋体" w:hAnsi="宋体" w:cs="宋体"/>
                <w:spacing w:val="-2"/>
                <w:sz w:val="24"/>
                <w:szCs w:val="24"/>
              </w:rPr>
              <w:t>因此本项目对生态环境影响较小。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4" w:hRule="atLeast"/>
        </w:trPr>
        <w:tc>
          <w:tcPr>
            <w:tcW w:w="436" w:type="dxa"/>
            <w:vMerge w:val="continue"/>
            <w:tcBorders>
              <w:top w:val="nil"/>
              <w:bottom w:val="nil"/>
            </w:tcBorders>
            <w:textDirection w:val="tbRlV"/>
            <w:vAlign w:val="center"/>
          </w:tcPr>
          <w:p>
            <w:pPr>
              <w:jc w:val="center"/>
              <w:rPr>
                <w:rFonts w:ascii="黑体"/>
                <w:sz w:val="24"/>
                <w:szCs w:val="24"/>
              </w:rPr>
            </w:pPr>
          </w:p>
        </w:tc>
        <w:tc>
          <w:tcPr>
            <w:tcW w:w="1438" w:type="dxa"/>
            <w:vAlign w:val="center"/>
          </w:tcPr>
          <w:p>
            <w:pPr>
              <w:spacing w:line="248" w:lineRule="auto"/>
              <w:jc w:val="center"/>
              <w:rPr>
                <w:rFonts w:ascii="黑体"/>
                <w:sz w:val="24"/>
                <w:szCs w:val="24"/>
              </w:rPr>
            </w:pPr>
          </w:p>
          <w:p>
            <w:pPr>
              <w:spacing w:line="248" w:lineRule="auto"/>
              <w:jc w:val="center"/>
              <w:rPr>
                <w:rFonts w:ascii="黑体"/>
                <w:sz w:val="24"/>
                <w:szCs w:val="24"/>
              </w:rPr>
            </w:pPr>
          </w:p>
          <w:p>
            <w:pPr>
              <w:spacing w:before="68" w:line="186" w:lineRule="auto"/>
              <w:ind w:firstLine="291"/>
              <w:jc w:val="both"/>
              <w:rPr>
                <w:rFonts w:ascii="宋体" w:hAnsi="宋体" w:cs="宋体"/>
                <w:sz w:val="24"/>
                <w:szCs w:val="24"/>
              </w:rPr>
            </w:pPr>
            <w:r>
              <w:rPr>
                <w:rFonts w:ascii="宋体" w:hAnsi="宋体" w:cs="宋体"/>
                <w:spacing w:val="-2"/>
                <w:sz w:val="24"/>
                <w:szCs w:val="24"/>
              </w:rPr>
              <w:t>环境影响</w:t>
            </w:r>
          </w:p>
        </w:tc>
        <w:tc>
          <w:tcPr>
            <w:tcW w:w="7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pacing w:val="-1"/>
                <w:sz w:val="24"/>
                <w:szCs w:val="24"/>
              </w:rPr>
              <w:t>（</w:t>
            </w:r>
            <w:r>
              <w:rPr>
                <w:rFonts w:eastAsia="Times New Roman"/>
                <w:b/>
                <w:bCs/>
                <w:spacing w:val="-1"/>
                <w:sz w:val="24"/>
                <w:szCs w:val="24"/>
              </w:rPr>
              <w:t>1</w:t>
            </w:r>
            <w:r>
              <w:rPr>
                <w:rFonts w:ascii="宋体" w:hAnsi="宋体" w:cs="宋体"/>
                <w:spacing w:val="-1"/>
                <w:sz w:val="24"/>
                <w:szCs w:val="24"/>
              </w:rPr>
              <w:t>）环境空气影响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pacing w:val="-5"/>
                <w:sz w:val="24"/>
                <w:szCs w:val="24"/>
              </w:rPr>
              <w:t>施工期间，在干燥天气时，施工单位对施工工地及车辆行驶的路面进行了洒</w:t>
            </w:r>
            <w:r>
              <w:rPr>
                <w:rFonts w:ascii="宋体" w:hAnsi="宋体" w:cs="宋体"/>
                <w:sz w:val="24"/>
                <w:szCs w:val="24"/>
              </w:rPr>
              <w:t>水；运输沙土等易起尘的建筑材料时做到了</w:t>
            </w:r>
            <w:r>
              <w:rPr>
                <w:rFonts w:hint="eastAsia" w:ascii="宋体" w:hAnsi="宋体" w:cs="宋体"/>
                <w:sz w:val="24"/>
                <w:szCs w:val="24"/>
              </w:rPr>
              <w:t>加盖篷布</w:t>
            </w:r>
            <w:r>
              <w:rPr>
                <w:rFonts w:ascii="宋体" w:hAnsi="宋体" w:cs="宋体"/>
                <w:sz w:val="24"/>
                <w:szCs w:val="24"/>
              </w:rPr>
              <w:t>。通过采取上述防治扬尘措</w:t>
            </w:r>
            <w:r>
              <w:rPr>
                <w:rFonts w:ascii="宋体" w:hAnsi="宋体" w:cs="宋体"/>
                <w:spacing w:val="-1"/>
                <w:sz w:val="24"/>
                <w:szCs w:val="24"/>
              </w:rPr>
              <w:t>施，有效防止了工程施工对大气的影响。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pacing w:val="-3"/>
                <w:sz w:val="24"/>
                <w:szCs w:val="24"/>
              </w:rPr>
              <w:t>（</w:t>
            </w:r>
            <w:r>
              <w:rPr>
                <w:rFonts w:eastAsia="Times New Roman"/>
                <w:b/>
                <w:bCs/>
                <w:spacing w:val="-3"/>
                <w:sz w:val="24"/>
                <w:szCs w:val="24"/>
              </w:rPr>
              <w:t>2</w:t>
            </w:r>
            <w:r>
              <w:rPr>
                <w:rFonts w:ascii="宋体" w:hAnsi="宋体" w:cs="宋体"/>
                <w:spacing w:val="-3"/>
                <w:sz w:val="24"/>
                <w:szCs w:val="24"/>
              </w:rPr>
              <w:t>）</w:t>
            </w:r>
            <w:r>
              <w:rPr>
                <w:rFonts w:hint="eastAsia" w:ascii="宋体" w:hAnsi="宋体" w:cs="宋体"/>
                <w:spacing w:val="-3"/>
                <w:sz w:val="24"/>
                <w:szCs w:val="24"/>
              </w:rPr>
              <w:t>水、气、固</w:t>
            </w:r>
            <w:r>
              <w:rPr>
                <w:rFonts w:ascii="宋体" w:hAnsi="宋体" w:cs="宋体"/>
                <w:spacing w:val="-3"/>
                <w:sz w:val="24"/>
                <w:szCs w:val="24"/>
              </w:rPr>
              <w:t>噪声影响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pacing w:val="-10"/>
                <w:sz w:val="24"/>
                <w:szCs w:val="24"/>
              </w:rPr>
              <w:t>废水：施工</w:t>
            </w:r>
            <w:r>
              <w:rPr>
                <w:rFonts w:hint="eastAsia" w:ascii="宋体" w:hAnsi="宋体" w:cs="宋体"/>
                <w:spacing w:val="-10"/>
                <w:sz w:val="24"/>
                <w:szCs w:val="24"/>
              </w:rPr>
              <w:t>期间</w:t>
            </w:r>
            <w:r>
              <w:rPr>
                <w:rFonts w:ascii="宋体" w:hAnsi="宋体" w:cs="宋体"/>
                <w:spacing w:val="-10"/>
                <w:sz w:val="24"/>
                <w:szCs w:val="24"/>
              </w:rPr>
              <w:t>生活污水经化粪池处理后回用于农田灌溉，严</w:t>
            </w:r>
            <w:r>
              <w:rPr>
                <w:rFonts w:ascii="宋体" w:hAnsi="宋体" w:cs="宋体"/>
                <w:spacing w:val="-2"/>
                <w:sz w:val="24"/>
                <w:szCs w:val="24"/>
              </w:rPr>
              <w:t>禁将施工人员生活污水直接排入水体。施工现场不进行砂石料清洗、混凝土搅拌，</w:t>
            </w:r>
            <w:r>
              <w:rPr>
                <w:rFonts w:ascii="宋体" w:hAnsi="宋体" w:cs="宋体"/>
                <w:spacing w:val="-1"/>
                <w:sz w:val="24"/>
                <w:szCs w:val="24"/>
              </w:rPr>
              <w:t>现场不清洗车辆，雨天禁止施工，产生的施工废水，尽可能就近排入城市污水管网，对施工周边水环境影响较小。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pacing w:val="-5"/>
                <w:position w:val="20"/>
                <w:sz w:val="24"/>
                <w:szCs w:val="24"/>
              </w:rPr>
            </w:pPr>
            <w:r>
              <w:rPr>
                <w:rFonts w:hint="eastAsia" w:ascii="宋体" w:hAnsi="宋体" w:cs="宋体"/>
                <w:spacing w:val="-5"/>
                <w:position w:val="20"/>
                <w:sz w:val="24"/>
                <w:szCs w:val="24"/>
              </w:rPr>
              <w:t>（3）</w:t>
            </w:r>
            <w:r>
              <w:rPr>
                <w:rFonts w:ascii="宋体" w:hAnsi="宋体" w:cs="宋体"/>
                <w:spacing w:val="-5"/>
                <w:position w:val="20"/>
                <w:sz w:val="24"/>
                <w:szCs w:val="24"/>
              </w:rPr>
              <w:t>噪声：施工单位选用低噪声设备，合理安排施工时间，</w:t>
            </w:r>
            <w:r>
              <w:rPr>
                <w:rFonts w:hint="eastAsia" w:ascii="宋体" w:hAnsi="宋体" w:cs="宋体"/>
                <w:spacing w:val="-5"/>
                <w:position w:val="20"/>
                <w:sz w:val="24"/>
                <w:szCs w:val="24"/>
              </w:rPr>
              <w:t>在</w:t>
            </w:r>
            <w:r>
              <w:rPr>
                <w:rFonts w:ascii="宋体" w:hAnsi="宋体" w:cs="宋体"/>
                <w:spacing w:val="-5"/>
                <w:position w:val="20"/>
                <w:sz w:val="24"/>
                <w:szCs w:val="24"/>
              </w:rPr>
              <w:t>高噪声设备周</w:t>
            </w:r>
            <w:r>
              <w:rPr>
                <w:rFonts w:hint="eastAsia" w:ascii="宋体" w:hAnsi="宋体" w:cs="宋体"/>
                <w:spacing w:val="-5"/>
                <w:position w:val="20"/>
                <w:sz w:val="24"/>
                <w:szCs w:val="24"/>
              </w:rPr>
              <w:t>围设置屏障。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pacing w:val="-2"/>
                <w:sz w:val="24"/>
                <w:szCs w:val="24"/>
              </w:rPr>
              <w:t>（</w:t>
            </w:r>
            <w:r>
              <w:rPr>
                <w:rFonts w:eastAsia="Times New Roman"/>
                <w:spacing w:val="-2"/>
                <w:sz w:val="24"/>
                <w:szCs w:val="24"/>
              </w:rPr>
              <w:t>4</w:t>
            </w:r>
            <w:r>
              <w:rPr>
                <w:rFonts w:ascii="宋体" w:hAnsi="宋体" w:cs="宋体"/>
                <w:spacing w:val="-2"/>
                <w:sz w:val="24"/>
                <w:szCs w:val="24"/>
              </w:rPr>
              <w:t>）固体废弃物影响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sz w:val="24"/>
                <w:szCs w:val="24"/>
              </w:rPr>
            </w:pPr>
            <w:r>
              <w:rPr>
                <w:rFonts w:ascii="宋体" w:hAnsi="宋体" w:cs="宋体"/>
                <w:sz w:val="24"/>
                <w:szCs w:val="24"/>
              </w:rPr>
              <w:t>施工建筑垃圾与施工人员生活垃圾由所在地环卫部门统一收集处理后。故施</w:t>
            </w:r>
            <w:r>
              <w:rPr>
                <w:rFonts w:ascii="宋体" w:hAnsi="宋体" w:cs="宋体"/>
                <w:spacing w:val="-1"/>
                <w:sz w:val="24"/>
                <w:szCs w:val="24"/>
              </w:rPr>
              <w:t>工期固废对环境无影响。施工建筑垃圾与施工人员生活垃圾由所在地环卫部门统</w:t>
            </w:r>
            <w:r>
              <w:rPr>
                <w:rFonts w:ascii="宋体" w:hAnsi="宋体" w:cs="宋体"/>
                <w:spacing w:val="-2"/>
                <w:sz w:val="24"/>
                <w:szCs w:val="24"/>
              </w:rPr>
              <w:t>一收集处理后。故施工期固废对环境无影响。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436" w:type="dxa"/>
            <w:vMerge w:val="continue"/>
            <w:tcBorders>
              <w:top w:val="nil"/>
            </w:tcBorders>
            <w:textDirection w:val="tbRlV"/>
            <w:vAlign w:val="center"/>
          </w:tcPr>
          <w:p>
            <w:pPr>
              <w:jc w:val="center"/>
              <w:rPr>
                <w:rFonts w:ascii="黑体"/>
                <w:sz w:val="24"/>
                <w:szCs w:val="24"/>
              </w:rPr>
            </w:pPr>
          </w:p>
        </w:tc>
        <w:tc>
          <w:tcPr>
            <w:tcW w:w="1438" w:type="dxa"/>
            <w:vAlign w:val="center"/>
          </w:tcPr>
          <w:p>
            <w:pPr>
              <w:spacing w:before="68" w:line="186" w:lineRule="auto"/>
              <w:ind w:firstLine="293"/>
              <w:jc w:val="both"/>
              <w:rPr>
                <w:rFonts w:ascii="宋体" w:hAnsi="宋体" w:cs="宋体"/>
                <w:sz w:val="24"/>
                <w:szCs w:val="24"/>
              </w:rPr>
            </w:pPr>
            <w:r>
              <w:rPr>
                <w:rFonts w:ascii="宋体" w:hAnsi="宋体" w:cs="宋体"/>
                <w:spacing w:val="-2"/>
                <w:sz w:val="24"/>
                <w:szCs w:val="24"/>
              </w:rPr>
              <w:t>社会影响</w:t>
            </w:r>
          </w:p>
        </w:tc>
        <w:tc>
          <w:tcPr>
            <w:tcW w:w="7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s="宋体"/>
                <w:color w:val="000000"/>
                <w:sz w:val="24"/>
                <w:szCs w:val="24"/>
              </w:rPr>
            </w:pPr>
            <w:r>
              <w:rPr>
                <w:rFonts w:ascii="宋体" w:hAnsi="宋体" w:cs="宋体"/>
                <w:spacing w:val="-2"/>
                <w:sz w:val="24"/>
                <w:szCs w:val="24"/>
              </w:rPr>
              <w:t>（</w:t>
            </w:r>
            <w:r>
              <w:rPr>
                <w:rFonts w:eastAsia="Times New Roman"/>
                <w:spacing w:val="-2"/>
                <w:sz w:val="24"/>
                <w:szCs w:val="24"/>
              </w:rPr>
              <w:t>1</w:t>
            </w:r>
            <w:r>
              <w:rPr>
                <w:rFonts w:ascii="宋体" w:hAnsi="宋体" w:cs="宋体"/>
                <w:spacing w:val="-2"/>
                <w:sz w:val="24"/>
                <w:szCs w:val="24"/>
              </w:rPr>
              <w:t>）本次验收调查的工程没有拆迁问题。</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s="宋体"/>
                <w:sz w:val="24"/>
                <w:szCs w:val="24"/>
              </w:rPr>
            </w:pPr>
            <w:r>
              <w:rPr>
                <w:rFonts w:ascii="宋体" w:hAnsi="宋体" w:cs="宋体"/>
                <w:color w:val="000000"/>
                <w:spacing w:val="-1"/>
                <w:sz w:val="24"/>
                <w:szCs w:val="24"/>
              </w:rPr>
              <w:t>（</w:t>
            </w:r>
            <w:r>
              <w:rPr>
                <w:rFonts w:eastAsia="Times New Roman"/>
                <w:color w:val="000000"/>
                <w:spacing w:val="-1"/>
                <w:sz w:val="24"/>
                <w:szCs w:val="24"/>
              </w:rPr>
              <w:t>2</w:t>
            </w:r>
            <w:r>
              <w:rPr>
                <w:rFonts w:ascii="宋体" w:hAnsi="宋体" w:cs="宋体"/>
                <w:color w:val="000000"/>
                <w:spacing w:val="-1"/>
                <w:sz w:val="24"/>
                <w:szCs w:val="24"/>
              </w:rPr>
              <w:t>）工程施工区、永久占地及调查范围内未涉及文物古迹。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436" w:type="dxa"/>
            <w:vMerge w:val="restart"/>
            <w:textDirection w:val="tbRlV"/>
            <w:vAlign w:val="center"/>
          </w:tcPr>
          <w:p>
            <w:pPr>
              <w:spacing w:before="105" w:line="180" w:lineRule="auto"/>
              <w:ind w:firstLine="285"/>
              <w:jc w:val="center"/>
              <w:rPr>
                <w:rFonts w:ascii="宋体" w:hAnsi="宋体" w:cs="宋体"/>
                <w:sz w:val="24"/>
                <w:szCs w:val="24"/>
              </w:rPr>
            </w:pPr>
            <w:r>
              <w:rPr>
                <w:rFonts w:ascii="宋体" w:hAnsi="宋体" w:cs="宋体"/>
                <w:spacing w:val="1"/>
                <w:sz w:val="24"/>
                <w:szCs w:val="24"/>
              </w:rPr>
              <w:t>运行期</w:t>
            </w:r>
          </w:p>
        </w:tc>
        <w:tc>
          <w:tcPr>
            <w:tcW w:w="1438" w:type="dxa"/>
            <w:vAlign w:val="center"/>
          </w:tcPr>
          <w:p>
            <w:pPr>
              <w:spacing w:before="68" w:line="186" w:lineRule="auto"/>
              <w:ind w:firstLine="293"/>
              <w:jc w:val="both"/>
              <w:rPr>
                <w:rFonts w:ascii="宋体" w:hAnsi="宋体" w:cs="宋体"/>
                <w:sz w:val="24"/>
                <w:szCs w:val="24"/>
              </w:rPr>
            </w:pPr>
            <w:r>
              <w:rPr>
                <w:rFonts w:ascii="宋体" w:hAnsi="宋体" w:cs="宋体"/>
                <w:spacing w:val="-2"/>
                <w:sz w:val="24"/>
                <w:szCs w:val="24"/>
              </w:rPr>
              <w:t>生态影响</w:t>
            </w:r>
          </w:p>
        </w:tc>
        <w:tc>
          <w:tcPr>
            <w:tcW w:w="7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4"/>
                <w:szCs w:val="24"/>
              </w:rPr>
            </w:pPr>
            <w:r>
              <w:rPr>
                <w:rFonts w:ascii="宋体" w:hAnsi="宋体" w:cs="宋体"/>
                <w:spacing w:val="-7"/>
                <w:sz w:val="24"/>
                <w:szCs w:val="24"/>
              </w:rPr>
              <w:t>绿化率达</w:t>
            </w:r>
            <w:r>
              <w:rPr>
                <w:rFonts w:eastAsia="Times New Roman"/>
                <w:spacing w:val="-7"/>
                <w:sz w:val="24"/>
                <w:szCs w:val="24"/>
              </w:rPr>
              <w:t>25</w:t>
            </w:r>
            <w:r>
              <w:rPr>
                <w:rFonts w:ascii="宋体" w:hAnsi="宋体" w:cs="宋体"/>
                <w:spacing w:val="11"/>
                <w:sz w:val="24"/>
                <w:szCs w:val="24"/>
              </w:rPr>
              <w:t>％，</w:t>
            </w:r>
            <w:r>
              <w:rPr>
                <w:rFonts w:ascii="宋体" w:hAnsi="宋体" w:cs="宋体"/>
                <w:spacing w:val="-7"/>
                <w:sz w:val="24"/>
                <w:szCs w:val="24"/>
              </w:rPr>
              <w:t>植被生长良好，工程运行对生态环境无影响。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 w:val="24"/>
                <w:szCs w:val="24"/>
              </w:rPr>
            </w:pPr>
          </w:p>
        </w:tc>
        <w:tc>
          <w:tcPr>
            <w:tcW w:w="1438" w:type="dxa"/>
            <w:vAlign w:val="center"/>
          </w:tcPr>
          <w:p>
            <w:pPr>
              <w:spacing w:before="69" w:line="186" w:lineRule="auto"/>
              <w:ind w:firstLine="291"/>
              <w:jc w:val="both"/>
              <w:rPr>
                <w:rFonts w:ascii="宋体" w:hAnsi="宋体" w:cs="宋体"/>
                <w:spacing w:val="-2"/>
                <w:sz w:val="24"/>
                <w:szCs w:val="24"/>
              </w:rPr>
            </w:pPr>
            <w:r>
              <w:rPr>
                <w:rFonts w:ascii="宋体" w:hAnsi="宋体" w:cs="宋体"/>
                <w:spacing w:val="-2"/>
                <w:sz w:val="24"/>
                <w:szCs w:val="24"/>
              </w:rPr>
              <w:t>环境影响</w:t>
            </w:r>
          </w:p>
        </w:tc>
        <w:tc>
          <w:tcPr>
            <w:tcW w:w="7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s="宋体"/>
                <w:spacing w:val="-3"/>
                <w:position w:val="19"/>
                <w:sz w:val="24"/>
                <w:szCs w:val="24"/>
              </w:rPr>
            </w:pPr>
            <w:r>
              <w:rPr>
                <w:rFonts w:ascii="宋体" w:hAnsi="宋体" w:cs="宋体"/>
                <w:spacing w:val="-3"/>
                <w:position w:val="19"/>
                <w:sz w:val="24"/>
                <w:szCs w:val="24"/>
              </w:rPr>
              <w:t>（1）声环境影响</w:t>
            </w:r>
          </w:p>
          <w:p>
            <w:pPr>
              <w:keepNext w:val="0"/>
              <w:keepLines w:val="0"/>
              <w:pageBreakBefore w:val="0"/>
              <w:widowControl w:val="0"/>
              <w:kinsoku/>
              <w:wordWrap/>
              <w:overflowPunct/>
              <w:topLinePunct w:val="0"/>
              <w:autoSpaceDE/>
              <w:autoSpaceDN/>
              <w:bidi w:val="0"/>
              <w:adjustRightInd/>
              <w:snapToGrid/>
              <w:spacing w:line="240" w:lineRule="auto"/>
              <w:ind w:firstLine="468" w:firstLineChars="200"/>
              <w:jc w:val="both"/>
              <w:textAlignment w:val="auto"/>
              <w:rPr>
                <w:rFonts w:ascii="宋体" w:hAnsi="宋体" w:cs="宋体"/>
                <w:sz w:val="24"/>
                <w:szCs w:val="24"/>
              </w:rPr>
            </w:pPr>
            <w:r>
              <w:rPr>
                <w:rFonts w:ascii="宋体" w:hAnsi="宋体" w:cs="宋体"/>
                <w:spacing w:val="-3"/>
                <w:position w:val="19"/>
                <w:sz w:val="24"/>
                <w:szCs w:val="24"/>
              </w:rPr>
              <w:t>本次验收调查的项目区厂界噪声符合环评批复的标准，也符合《工业企业厂</w:t>
            </w:r>
            <w:r>
              <w:rPr>
                <w:rFonts w:hint="eastAsia" w:ascii="宋体" w:hAnsi="宋体" w:cs="宋体"/>
                <w:spacing w:val="-3"/>
                <w:position w:val="19"/>
                <w:sz w:val="24"/>
                <w:szCs w:val="24"/>
              </w:rPr>
              <w:t>界环境噪声排放标准》（GB12348-2008）中1类标准要求。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s="宋体"/>
                <w:sz w:val="24"/>
                <w:szCs w:val="24"/>
              </w:rPr>
            </w:pPr>
            <w:r>
              <w:rPr>
                <w:rFonts w:ascii="宋体" w:hAnsi="宋体" w:cs="宋体"/>
                <w:spacing w:val="-2"/>
                <w:sz w:val="24"/>
                <w:szCs w:val="24"/>
              </w:rPr>
              <w:t>（</w:t>
            </w:r>
            <w:r>
              <w:rPr>
                <w:rFonts w:eastAsia="Times New Roman"/>
                <w:spacing w:val="-2"/>
                <w:sz w:val="24"/>
                <w:szCs w:val="24"/>
              </w:rPr>
              <w:t>2</w:t>
            </w:r>
            <w:r>
              <w:rPr>
                <w:rFonts w:ascii="宋体" w:hAnsi="宋体" w:cs="宋体"/>
                <w:spacing w:val="-2"/>
                <w:sz w:val="24"/>
                <w:szCs w:val="24"/>
              </w:rPr>
              <w:t>）水环境影响</w:t>
            </w:r>
          </w:p>
          <w:p>
            <w:pPr>
              <w:keepNext w:val="0"/>
              <w:keepLines w:val="0"/>
              <w:pageBreakBefore w:val="0"/>
              <w:widowControl w:val="0"/>
              <w:kinsoku/>
              <w:wordWrap/>
              <w:overflowPunct/>
              <w:topLinePunct w:val="0"/>
              <w:autoSpaceDE/>
              <w:autoSpaceDN/>
              <w:bidi w:val="0"/>
              <w:adjustRightInd/>
              <w:snapToGrid/>
              <w:spacing w:line="240" w:lineRule="auto"/>
              <w:ind w:firstLine="432" w:firstLineChars="200"/>
              <w:jc w:val="both"/>
              <w:textAlignment w:val="auto"/>
              <w:rPr>
                <w:rFonts w:ascii="宋体" w:hAnsi="宋体" w:cs="宋体"/>
                <w:spacing w:val="-12"/>
                <w:sz w:val="24"/>
                <w:szCs w:val="24"/>
              </w:rPr>
            </w:pPr>
            <w:r>
              <w:rPr>
                <w:rFonts w:hint="eastAsia" w:ascii="宋体" w:hAnsi="宋体" w:cs="宋体"/>
                <w:spacing w:val="-12"/>
                <w:sz w:val="24"/>
                <w:szCs w:val="24"/>
              </w:rPr>
              <w:t>本项目产生的生活污水</w:t>
            </w:r>
            <w:r>
              <w:rPr>
                <w:rFonts w:hint="eastAsia" w:ascii="宋体" w:hAnsi="宋体" w:cs="宋体"/>
                <w:spacing w:val="-12"/>
                <w:sz w:val="24"/>
                <w:szCs w:val="24"/>
                <w:lang w:eastAsia="zh-CN"/>
              </w:rPr>
              <w:t>、</w:t>
            </w:r>
            <w:r>
              <w:rPr>
                <w:rFonts w:hint="eastAsia" w:ascii="宋体" w:hAnsi="宋体" w:cs="宋体"/>
                <w:spacing w:val="-12"/>
                <w:sz w:val="24"/>
                <w:szCs w:val="24"/>
                <w:lang w:val="en-US" w:eastAsia="zh-CN"/>
              </w:rPr>
              <w:t>餐厨废水</w:t>
            </w:r>
            <w:r>
              <w:rPr>
                <w:rFonts w:hint="eastAsia" w:ascii="宋体" w:hAnsi="宋体" w:cs="宋体"/>
                <w:spacing w:val="-12"/>
                <w:sz w:val="24"/>
                <w:szCs w:val="24"/>
              </w:rPr>
              <w:t>经化粪池</w:t>
            </w:r>
            <w:r>
              <w:rPr>
                <w:rFonts w:hint="eastAsia" w:ascii="宋体" w:hAnsi="宋体" w:cs="宋体"/>
                <w:spacing w:val="-12"/>
                <w:sz w:val="24"/>
                <w:szCs w:val="24"/>
                <w:lang w:val="en-US" w:eastAsia="zh-CN"/>
              </w:rPr>
              <w:t>和隔油池及地埋式污水处理设备</w:t>
            </w:r>
            <w:r>
              <w:rPr>
                <w:rFonts w:hint="eastAsia" w:ascii="宋体" w:hAnsi="宋体" w:cs="宋体"/>
                <w:spacing w:val="-12"/>
                <w:sz w:val="24"/>
                <w:szCs w:val="24"/>
              </w:rPr>
              <w:t>处理后，</w:t>
            </w:r>
            <w:r>
              <w:rPr>
                <w:rFonts w:hint="eastAsia" w:ascii="宋体" w:hAnsi="宋体" w:cs="宋体"/>
                <w:spacing w:val="-12"/>
                <w:sz w:val="24"/>
                <w:szCs w:val="24"/>
                <w:lang w:val="en-US" w:eastAsia="zh-CN"/>
              </w:rPr>
              <w:t>用于厂区绿化及道路散洒</w:t>
            </w:r>
            <w:r>
              <w:rPr>
                <w:rFonts w:hint="eastAsia" w:ascii="宋体" w:hAnsi="宋体" w:cs="宋体"/>
                <w:spacing w:val="-12"/>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宋体" w:hAnsi="宋体" w:cs="宋体"/>
                <w:sz w:val="24"/>
                <w:szCs w:val="24"/>
              </w:rPr>
            </w:pPr>
            <w:r>
              <w:rPr>
                <w:rFonts w:ascii="宋体" w:hAnsi="宋体" w:cs="宋体"/>
                <w:spacing w:val="-1"/>
                <w:sz w:val="24"/>
                <w:szCs w:val="24"/>
              </w:rPr>
              <w:t>（</w:t>
            </w:r>
            <w:r>
              <w:rPr>
                <w:rFonts w:eastAsia="Times New Roman"/>
                <w:spacing w:val="-1"/>
                <w:sz w:val="24"/>
                <w:szCs w:val="24"/>
              </w:rPr>
              <w:t>3</w:t>
            </w:r>
            <w:r>
              <w:rPr>
                <w:rFonts w:ascii="宋体" w:hAnsi="宋体" w:cs="宋体"/>
                <w:spacing w:val="-1"/>
                <w:sz w:val="24"/>
                <w:szCs w:val="24"/>
              </w:rPr>
              <w:t>）固体废物环境影响</w:t>
            </w:r>
          </w:p>
          <w:p>
            <w:pPr>
              <w:keepNext w:val="0"/>
              <w:keepLines w:val="0"/>
              <w:pageBreakBefore w:val="0"/>
              <w:widowControl w:val="0"/>
              <w:kinsoku/>
              <w:wordWrap/>
              <w:overflowPunct/>
              <w:topLinePunct w:val="0"/>
              <w:autoSpaceDE/>
              <w:autoSpaceDN/>
              <w:bidi w:val="0"/>
              <w:adjustRightInd/>
              <w:snapToGrid/>
              <w:spacing w:line="240" w:lineRule="auto"/>
              <w:ind w:firstLine="488" w:firstLineChars="200"/>
              <w:jc w:val="both"/>
              <w:textAlignment w:val="auto"/>
              <w:rPr>
                <w:rFonts w:hint="eastAsia" w:ascii="宋体" w:hAnsi="宋体" w:cs="宋体"/>
                <w:spacing w:val="2"/>
                <w:sz w:val="24"/>
                <w:szCs w:val="24"/>
              </w:rPr>
            </w:pPr>
            <w:r>
              <w:rPr>
                <w:rFonts w:hint="eastAsia" w:ascii="宋体" w:hAnsi="宋体" w:cs="宋体"/>
                <w:spacing w:val="2"/>
                <w:sz w:val="24"/>
                <w:szCs w:val="24"/>
              </w:rPr>
              <w:t>本项目产生的危废</w:t>
            </w:r>
            <w:r>
              <w:rPr>
                <w:rFonts w:hint="eastAsia" w:ascii="宋体" w:hAnsi="宋体" w:cs="宋体"/>
                <w:spacing w:val="2"/>
                <w:sz w:val="24"/>
                <w:szCs w:val="24"/>
                <w:lang w:val="en-US" w:eastAsia="zh-CN"/>
              </w:rPr>
              <w:t>交由有资质单位处理，零排放</w:t>
            </w:r>
            <w:r>
              <w:rPr>
                <w:rFonts w:hint="eastAsia" w:ascii="宋体" w:hAnsi="宋体" w:cs="宋体"/>
                <w:spacing w:val="2"/>
                <w:sz w:val="24"/>
                <w:szCs w:val="24"/>
              </w:rPr>
              <w:t>，因此对周边环境无影响。</w:t>
            </w:r>
          </w:p>
          <w:p>
            <w:pPr>
              <w:pStyle w:val="32"/>
              <w:numPr>
                <w:ilvl w:val="0"/>
                <w:numId w:val="4"/>
              </w:numPr>
              <w:ind w:left="0" w:leftChars="0" w:firstLine="0" w:firstLineChars="0"/>
              <w:rPr>
                <w:rFonts w:hint="eastAsia" w:ascii="宋体" w:hAnsi="宋体" w:cs="宋体"/>
                <w:spacing w:val="2"/>
                <w:sz w:val="24"/>
                <w:szCs w:val="24"/>
                <w:lang w:val="en-US" w:eastAsia="zh-CN"/>
              </w:rPr>
            </w:pPr>
            <w:r>
              <w:rPr>
                <w:rFonts w:hint="eastAsia" w:ascii="宋体" w:hAnsi="宋体" w:cs="宋体"/>
                <w:spacing w:val="2"/>
                <w:sz w:val="24"/>
                <w:szCs w:val="24"/>
                <w:lang w:val="en-US" w:eastAsia="zh-CN"/>
              </w:rPr>
              <w:t>大气环境影响</w:t>
            </w:r>
          </w:p>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8" w:firstLineChars="200"/>
              <w:textAlignment w:val="auto"/>
              <w:rPr>
                <w:rFonts w:hint="default" w:ascii="宋体" w:hAnsi="宋体" w:cs="宋体"/>
                <w:spacing w:val="2"/>
                <w:sz w:val="24"/>
                <w:szCs w:val="24"/>
                <w:highlight w:val="yellow"/>
                <w:lang w:val="en-US" w:eastAsia="zh-CN"/>
              </w:rPr>
            </w:pPr>
            <w:r>
              <w:rPr>
                <w:rFonts w:hint="eastAsia" w:ascii="宋体" w:hAnsi="宋体" w:cs="宋体"/>
                <w:spacing w:val="2"/>
                <w:sz w:val="24"/>
                <w:szCs w:val="24"/>
                <w:lang w:val="en-US" w:eastAsia="zh-CN"/>
              </w:rPr>
              <w:t>本项目产生的油烟废气</w:t>
            </w:r>
            <w:r>
              <w:rPr>
                <w:rFonts w:hint="eastAsia"/>
                <w:sz w:val="24"/>
                <w:szCs w:val="24"/>
                <w:lang w:val="en-US" w:eastAsia="zh-CN"/>
              </w:rPr>
              <w:t>经</w:t>
            </w:r>
            <w:r>
              <w:rPr>
                <w:rFonts w:hint="eastAsia" w:ascii="宋体" w:hAnsi="宋体" w:cs="宋体"/>
                <w:spacing w:val="-4"/>
                <w:sz w:val="24"/>
                <w:szCs w:val="24"/>
                <w:lang w:val="en-US" w:eastAsia="zh-CN"/>
              </w:rPr>
              <w:t>抽油烟机脱油净化处理，经过烟道引至屋顶排放，对周边环境影响较小。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pacing w:val="-7"/>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436" w:type="dxa"/>
            <w:vMerge w:val="continue"/>
            <w:textDirection w:val="tbRlV"/>
            <w:vAlign w:val="center"/>
          </w:tcPr>
          <w:p>
            <w:pPr>
              <w:spacing w:before="105" w:line="180" w:lineRule="auto"/>
              <w:ind w:firstLine="285"/>
              <w:jc w:val="center"/>
              <w:rPr>
                <w:rFonts w:ascii="宋体" w:hAnsi="宋体" w:cs="宋体"/>
                <w:spacing w:val="1"/>
                <w:sz w:val="24"/>
                <w:szCs w:val="24"/>
              </w:rPr>
            </w:pPr>
          </w:p>
        </w:tc>
        <w:tc>
          <w:tcPr>
            <w:tcW w:w="1438" w:type="dxa"/>
            <w:vAlign w:val="center"/>
          </w:tcPr>
          <w:p>
            <w:pPr>
              <w:spacing w:before="68" w:line="186" w:lineRule="auto"/>
              <w:ind w:firstLine="293"/>
              <w:jc w:val="center"/>
              <w:rPr>
                <w:rFonts w:ascii="宋体" w:hAnsi="宋体" w:cs="宋体"/>
                <w:spacing w:val="-2"/>
                <w:sz w:val="24"/>
                <w:szCs w:val="24"/>
              </w:rPr>
            </w:pPr>
            <w:r>
              <w:rPr>
                <w:rFonts w:ascii="宋体" w:hAnsi="宋体" w:cs="宋体"/>
                <w:spacing w:val="-2"/>
                <w:sz w:val="24"/>
                <w:szCs w:val="24"/>
              </w:rPr>
              <w:t>社会影响</w:t>
            </w:r>
          </w:p>
        </w:tc>
        <w:tc>
          <w:tcPr>
            <w:tcW w:w="7770" w:type="dxa"/>
            <w:vAlign w:val="center"/>
          </w:tcPr>
          <w:p>
            <w:pPr>
              <w:spacing w:before="68" w:line="186" w:lineRule="auto"/>
              <w:ind w:firstLine="532"/>
              <w:jc w:val="center"/>
              <w:rPr>
                <w:rFonts w:ascii="宋体" w:hAnsi="宋体" w:cs="宋体"/>
                <w:spacing w:val="-7"/>
                <w:sz w:val="24"/>
                <w:szCs w:val="24"/>
              </w:rPr>
            </w:pPr>
            <w:r>
              <w:rPr>
                <w:rFonts w:ascii="宋体" w:hAnsi="宋体" w:cs="宋体"/>
                <w:spacing w:val="-1"/>
                <w:sz w:val="24"/>
                <w:szCs w:val="24"/>
              </w:rPr>
              <w:t>满足</w:t>
            </w:r>
            <w:r>
              <w:rPr>
                <w:rFonts w:hint="eastAsia" w:ascii="宋体" w:hAnsi="宋体" w:cs="宋体"/>
                <w:spacing w:val="-1"/>
                <w:sz w:val="24"/>
                <w:szCs w:val="24"/>
                <w:lang w:eastAsia="zh-CN"/>
              </w:rPr>
              <w:t>邳州市</w:t>
            </w:r>
            <w:r>
              <w:rPr>
                <w:rFonts w:ascii="宋体" w:hAnsi="宋体" w:cs="宋体"/>
                <w:spacing w:val="-1"/>
                <w:sz w:val="24"/>
                <w:szCs w:val="24"/>
              </w:rPr>
              <w:t>的用电需要，促进当地经济社会发展。</w:t>
            </w:r>
          </w:p>
        </w:tc>
      </w:tr>
    </w:tbl>
    <w:p>
      <w:pPr>
        <w:pStyle w:val="3"/>
        <w:tabs>
          <w:tab w:val="left" w:pos="7275"/>
        </w:tabs>
        <w:spacing w:beforeLines="50" w:afterLines="50" w:line="240" w:lineRule="auto"/>
        <w:rPr>
          <w:sz w:val="28"/>
          <w:szCs w:val="28"/>
        </w:rPr>
      </w:pPr>
      <w:bookmarkStart w:id="18" w:name="_Toc23839"/>
      <w:bookmarkStart w:id="19" w:name="_Toc23661"/>
      <w:r>
        <w:rPr>
          <w:rFonts w:hint="eastAsia"/>
          <w:sz w:val="28"/>
          <w:szCs w:val="28"/>
        </w:rPr>
        <w:t>表十一 验收调查结论及建议</w:t>
      </w:r>
      <w:bookmarkEnd w:id="18"/>
      <w:bookmarkEnd w:id="19"/>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85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9854" w:type="dxa"/>
          </w:tcPr>
          <w:p>
            <w:pPr>
              <w:spacing w:line="360" w:lineRule="auto"/>
              <w:ind w:firstLine="460" w:firstLineChars="200"/>
              <w:rPr>
                <w:rFonts w:ascii="宋体" w:hAnsi="宋体" w:cs="宋体"/>
                <w:sz w:val="24"/>
                <w:szCs w:val="24"/>
              </w:rPr>
            </w:pPr>
            <w:r>
              <w:rPr>
                <w:rFonts w:ascii="宋体" w:hAnsi="宋体" w:cs="宋体"/>
                <w:spacing w:val="-5"/>
                <w:sz w:val="24"/>
                <w:szCs w:val="24"/>
              </w:rPr>
              <w:t>通过对</w:t>
            </w:r>
            <w:r>
              <w:rPr>
                <w:rFonts w:hint="eastAsia" w:ascii="宋体" w:hAnsi="宋体" w:cs="宋体"/>
                <w:spacing w:val="-5"/>
                <w:sz w:val="24"/>
                <w:szCs w:val="24"/>
              </w:rPr>
              <w:t>华润新能源（</w:t>
            </w:r>
            <w:r>
              <w:rPr>
                <w:rFonts w:hint="eastAsia" w:ascii="宋体" w:hAnsi="宋体" w:cs="宋体"/>
                <w:spacing w:val="-5"/>
                <w:sz w:val="24"/>
                <w:szCs w:val="24"/>
                <w:lang w:eastAsia="zh-CN"/>
              </w:rPr>
              <w:t>邳州</w:t>
            </w:r>
            <w:r>
              <w:rPr>
                <w:rFonts w:hint="eastAsia" w:ascii="宋体" w:hAnsi="宋体" w:cs="宋体"/>
                <w:spacing w:val="-5"/>
                <w:sz w:val="24"/>
                <w:szCs w:val="24"/>
              </w:rPr>
              <w:t>）有限公司</w:t>
            </w:r>
            <w:r>
              <w:rPr>
                <w:rFonts w:hint="eastAsia" w:ascii="宋体" w:hAnsi="宋体" w:cs="宋体"/>
                <w:spacing w:val="-5"/>
                <w:sz w:val="24"/>
                <w:szCs w:val="24"/>
                <w:lang w:eastAsia="zh-CN"/>
              </w:rPr>
              <w:t>邳州市</w:t>
            </w:r>
            <w:r>
              <w:rPr>
                <w:rFonts w:ascii="宋体" w:hAnsi="宋体" w:cs="宋体"/>
                <w:spacing w:val="-5"/>
                <w:sz w:val="24"/>
                <w:szCs w:val="24"/>
              </w:rPr>
              <w:t>环境状况调查，对有关技术文件、报</w:t>
            </w:r>
            <w:r>
              <w:rPr>
                <w:rFonts w:ascii="宋体" w:hAnsi="宋体" w:cs="宋体"/>
                <w:sz w:val="24"/>
                <w:szCs w:val="24"/>
              </w:rPr>
              <w:t>告的分析，对工程环保执行情况、环境保护措施的重点调查与监测，以及对项目区监测结果的分析与</w:t>
            </w:r>
            <w:r>
              <w:rPr>
                <w:rFonts w:ascii="宋体" w:hAnsi="宋体" w:cs="宋体"/>
                <w:spacing w:val="-8"/>
                <w:sz w:val="24"/>
                <w:szCs w:val="24"/>
              </w:rPr>
              <w:t>评价，从环境保护角度对工程提出如下调查结论和建议：</w:t>
            </w:r>
          </w:p>
          <w:p>
            <w:pPr>
              <w:spacing w:line="360" w:lineRule="auto"/>
              <w:ind w:firstLine="472" w:firstLineChars="200"/>
              <w:rPr>
                <w:rFonts w:ascii="宋体" w:hAnsi="宋体" w:cs="宋体"/>
                <w:sz w:val="24"/>
                <w:szCs w:val="24"/>
              </w:rPr>
            </w:pPr>
            <w:r>
              <w:rPr>
                <w:rFonts w:ascii="宋体" w:hAnsi="宋体" w:cs="宋体"/>
                <w:spacing w:val="-2"/>
                <w:sz w:val="24"/>
                <w:szCs w:val="24"/>
              </w:rPr>
              <w:t>（</w:t>
            </w:r>
            <w:r>
              <w:rPr>
                <w:rFonts w:eastAsia="Times New Roman"/>
                <w:spacing w:val="-2"/>
                <w:sz w:val="24"/>
                <w:szCs w:val="24"/>
              </w:rPr>
              <w:t>1</w:t>
            </w:r>
            <w:r>
              <w:rPr>
                <w:rFonts w:ascii="宋体" w:hAnsi="宋体" w:cs="宋体"/>
                <w:spacing w:val="-2"/>
                <w:sz w:val="24"/>
                <w:szCs w:val="24"/>
              </w:rPr>
              <w:t>）工程基本情况</w:t>
            </w:r>
          </w:p>
          <w:p>
            <w:pPr>
              <w:spacing w:line="360" w:lineRule="auto"/>
              <w:ind w:firstLine="472" w:firstLineChars="200"/>
              <w:rPr>
                <w:rFonts w:ascii="宋体" w:hAnsi="宋体" w:cs="宋体"/>
                <w:sz w:val="24"/>
                <w:szCs w:val="24"/>
              </w:rPr>
            </w:pPr>
            <w:r>
              <w:rPr>
                <w:rFonts w:hint="eastAsia" w:ascii="宋体" w:hAnsi="宋体" w:cs="宋体"/>
                <w:spacing w:val="-2"/>
                <w:sz w:val="24"/>
                <w:szCs w:val="24"/>
                <w:lang w:val="en-US" w:eastAsia="zh-CN"/>
              </w:rPr>
              <w:t>邳州市车辐山戴庄风电项目</w:t>
            </w:r>
            <w:r>
              <w:rPr>
                <w:rFonts w:ascii="宋体" w:hAnsi="宋体" w:cs="宋体"/>
                <w:spacing w:val="-2"/>
                <w:sz w:val="24"/>
                <w:szCs w:val="24"/>
              </w:rPr>
              <w:t>主要内容、规模以及与环评阶段的工程内容、</w:t>
            </w:r>
            <w:r>
              <w:rPr>
                <w:rFonts w:hint="eastAsia" w:ascii="宋体" w:hAnsi="宋体" w:cs="宋体"/>
                <w:sz w:val="24"/>
                <w:szCs w:val="24"/>
              </w:rPr>
              <w:t>规模见上表四</w:t>
            </w:r>
            <w:r>
              <w:rPr>
                <w:rFonts w:ascii="宋体" w:hAnsi="宋体" w:cs="宋体"/>
                <w:spacing w:val="-1"/>
                <w:sz w:val="24"/>
                <w:szCs w:val="24"/>
              </w:rPr>
              <w:t>。项目建设</w:t>
            </w:r>
            <w:r>
              <w:rPr>
                <w:rFonts w:hint="eastAsia" w:ascii="宋体" w:hAnsi="宋体" w:cs="宋体"/>
                <w:spacing w:val="-1"/>
                <w:sz w:val="24"/>
                <w:szCs w:val="24"/>
              </w:rPr>
              <w:t>内容</w:t>
            </w:r>
            <w:r>
              <w:rPr>
                <w:rFonts w:ascii="宋体" w:hAnsi="宋体" w:cs="宋体"/>
                <w:spacing w:val="-1"/>
                <w:sz w:val="24"/>
                <w:szCs w:val="24"/>
              </w:rPr>
              <w:t>同设计方案一致</w:t>
            </w:r>
            <w:r>
              <w:rPr>
                <w:rFonts w:hint="eastAsia" w:ascii="宋体" w:hAnsi="宋体" w:cs="宋体"/>
                <w:spacing w:val="-1"/>
                <w:sz w:val="24"/>
                <w:szCs w:val="24"/>
              </w:rPr>
              <w:t>。</w:t>
            </w:r>
          </w:p>
          <w:p>
            <w:pPr>
              <w:spacing w:line="360" w:lineRule="auto"/>
              <w:ind w:firstLine="476" w:firstLineChars="200"/>
              <w:rPr>
                <w:rFonts w:ascii="宋体" w:hAnsi="宋体" w:cs="宋体"/>
                <w:sz w:val="24"/>
                <w:szCs w:val="24"/>
              </w:rPr>
            </w:pPr>
            <w:r>
              <w:rPr>
                <w:rFonts w:ascii="宋体" w:hAnsi="宋体" w:cs="宋体"/>
                <w:spacing w:val="-1"/>
                <w:sz w:val="24"/>
                <w:szCs w:val="24"/>
              </w:rPr>
              <w:t>（</w:t>
            </w:r>
            <w:r>
              <w:rPr>
                <w:rFonts w:eastAsia="Times New Roman"/>
                <w:spacing w:val="-1"/>
                <w:sz w:val="24"/>
                <w:szCs w:val="24"/>
              </w:rPr>
              <w:t>2</w:t>
            </w:r>
            <w:r>
              <w:rPr>
                <w:rFonts w:ascii="宋体" w:hAnsi="宋体" w:cs="宋体"/>
                <w:spacing w:val="-1"/>
                <w:sz w:val="24"/>
                <w:szCs w:val="24"/>
              </w:rPr>
              <w:t>）环境保护措施落实情况调查</w:t>
            </w:r>
          </w:p>
          <w:p>
            <w:pPr>
              <w:spacing w:line="360" w:lineRule="auto"/>
              <w:ind w:firstLine="480" w:firstLineChars="200"/>
              <w:rPr>
                <w:rFonts w:ascii="宋体" w:hAnsi="宋体" w:cs="宋体"/>
                <w:sz w:val="24"/>
                <w:szCs w:val="24"/>
              </w:rPr>
            </w:pPr>
            <w:r>
              <w:rPr>
                <w:rFonts w:ascii="宋体" w:hAnsi="宋体" w:cs="宋体"/>
                <w:sz w:val="24"/>
                <w:szCs w:val="24"/>
              </w:rPr>
              <w:t>环境影响报告表、批复文件和设计文件中对本工程提出了比较全面的环境保护措施要求，在工程</w:t>
            </w:r>
            <w:r>
              <w:rPr>
                <w:rFonts w:ascii="宋体" w:hAnsi="宋体" w:cs="宋体"/>
                <w:spacing w:val="-1"/>
                <w:sz w:val="24"/>
                <w:szCs w:val="24"/>
              </w:rPr>
              <w:t>实际建设中和试运营以来环保措施基本已得到落实。</w:t>
            </w:r>
          </w:p>
          <w:p>
            <w:pPr>
              <w:spacing w:line="360" w:lineRule="auto"/>
              <w:ind w:firstLine="476" w:firstLineChars="200"/>
              <w:rPr>
                <w:rFonts w:ascii="宋体" w:hAnsi="宋体" w:cs="宋体"/>
                <w:sz w:val="24"/>
                <w:szCs w:val="24"/>
              </w:rPr>
            </w:pPr>
            <w:r>
              <w:rPr>
                <w:rFonts w:ascii="宋体" w:hAnsi="宋体" w:cs="宋体"/>
                <w:spacing w:val="-1"/>
                <w:sz w:val="24"/>
                <w:szCs w:val="24"/>
              </w:rPr>
              <w:t>（</w:t>
            </w:r>
            <w:r>
              <w:rPr>
                <w:rFonts w:eastAsia="Times New Roman"/>
                <w:spacing w:val="-1"/>
                <w:sz w:val="24"/>
                <w:szCs w:val="24"/>
              </w:rPr>
              <w:t>3</w:t>
            </w:r>
            <w:r>
              <w:rPr>
                <w:rFonts w:ascii="宋体" w:hAnsi="宋体" w:cs="宋体"/>
                <w:spacing w:val="-1"/>
                <w:sz w:val="24"/>
                <w:szCs w:val="24"/>
              </w:rPr>
              <w:t>）设计、施工期环境影响调查</w:t>
            </w:r>
          </w:p>
          <w:p>
            <w:pPr>
              <w:spacing w:line="360" w:lineRule="auto"/>
              <w:ind w:firstLine="480" w:firstLineChars="200"/>
              <w:rPr>
                <w:rFonts w:ascii="宋体" w:hAnsi="宋体" w:cs="宋体"/>
                <w:sz w:val="24"/>
                <w:szCs w:val="24"/>
              </w:rPr>
            </w:pPr>
            <w:r>
              <w:rPr>
                <w:rFonts w:ascii="宋体" w:hAnsi="宋体" w:cs="宋体"/>
                <w:sz w:val="24"/>
                <w:szCs w:val="24"/>
              </w:rPr>
              <w:t>工程在选择厂址和进行设计的过程中，在考虑附近社会状况和可能产生的环境影响的基础上，对各种环境影响提出了相关对策并落实到工程设计之中。施工单位针对施工期的各类环境影响分别采取</w:t>
            </w:r>
            <w:r>
              <w:rPr>
                <w:rFonts w:ascii="宋体" w:hAnsi="宋体" w:cs="宋体"/>
                <w:spacing w:val="-4"/>
                <w:sz w:val="24"/>
                <w:szCs w:val="24"/>
              </w:rPr>
              <w:t>了防治措施。</w:t>
            </w:r>
          </w:p>
          <w:p>
            <w:pPr>
              <w:spacing w:line="360" w:lineRule="auto"/>
              <w:ind w:firstLine="472" w:firstLineChars="200"/>
              <w:rPr>
                <w:rFonts w:ascii="宋体" w:hAnsi="宋体" w:cs="宋体"/>
                <w:sz w:val="24"/>
                <w:szCs w:val="24"/>
              </w:rPr>
            </w:pPr>
            <w:r>
              <w:rPr>
                <w:rFonts w:ascii="宋体" w:hAnsi="宋体" w:cs="宋体"/>
                <w:spacing w:val="-2"/>
                <w:sz w:val="24"/>
                <w:szCs w:val="24"/>
              </w:rPr>
              <w:t>（</w:t>
            </w:r>
            <w:r>
              <w:rPr>
                <w:rFonts w:eastAsia="Times New Roman"/>
                <w:spacing w:val="-2"/>
                <w:sz w:val="24"/>
                <w:szCs w:val="24"/>
              </w:rPr>
              <w:t>4</w:t>
            </w:r>
            <w:r>
              <w:rPr>
                <w:rFonts w:ascii="宋体" w:hAnsi="宋体" w:cs="宋体"/>
                <w:spacing w:val="-2"/>
                <w:sz w:val="24"/>
                <w:szCs w:val="24"/>
              </w:rPr>
              <w:t>）生态环境影响调查</w:t>
            </w:r>
          </w:p>
          <w:p>
            <w:pPr>
              <w:spacing w:line="360" w:lineRule="auto"/>
              <w:ind w:firstLine="480" w:firstLineChars="200"/>
              <w:rPr>
                <w:rFonts w:ascii="宋体" w:hAnsi="宋体" w:cs="宋体"/>
                <w:sz w:val="24"/>
                <w:szCs w:val="24"/>
              </w:rPr>
            </w:pPr>
            <w:r>
              <w:rPr>
                <w:rFonts w:ascii="宋体" w:hAnsi="宋体" w:cs="宋体"/>
                <w:sz w:val="24"/>
                <w:szCs w:val="24"/>
              </w:rPr>
              <w:t>施工完毕后施工便道地表及时进行了绿化，因此项目建设对生态环境影响较小。工程在厂区内进</w:t>
            </w:r>
            <w:r>
              <w:rPr>
                <w:rFonts w:ascii="宋体" w:hAnsi="宋体" w:cs="宋体"/>
                <w:spacing w:val="-8"/>
                <w:sz w:val="24"/>
                <w:szCs w:val="24"/>
              </w:rPr>
              <w:t>行了绿化，绿化率达到</w:t>
            </w:r>
            <w:r>
              <w:rPr>
                <w:rFonts w:hint="eastAsia"/>
                <w:spacing w:val="-8"/>
                <w:sz w:val="24"/>
                <w:szCs w:val="24"/>
              </w:rPr>
              <w:t>30</w:t>
            </w:r>
            <w:r>
              <w:rPr>
                <w:rFonts w:ascii="宋体" w:hAnsi="宋体" w:cs="宋体"/>
                <w:spacing w:val="-8"/>
                <w:sz w:val="24"/>
                <w:szCs w:val="24"/>
              </w:rPr>
              <w:t>％以上。目前大部分绿化植物生长良好，取得了较好的防护及景观效果。</w:t>
            </w:r>
          </w:p>
          <w:p>
            <w:pPr>
              <w:spacing w:line="360" w:lineRule="auto"/>
              <w:ind w:firstLine="480" w:firstLineChars="200"/>
              <w:rPr>
                <w:rFonts w:ascii="宋体" w:hAnsi="宋体" w:cs="宋体"/>
                <w:sz w:val="24"/>
                <w:szCs w:val="24"/>
              </w:rPr>
            </w:pPr>
            <w:r>
              <w:rPr>
                <w:rFonts w:ascii="宋体" w:hAnsi="宋体" w:cs="宋体"/>
                <w:sz w:val="24"/>
                <w:szCs w:val="24"/>
              </w:rPr>
              <w:t>（5）声环境影响调查</w:t>
            </w:r>
          </w:p>
          <w:p>
            <w:pPr>
              <w:spacing w:line="360" w:lineRule="auto"/>
              <w:ind w:firstLine="480" w:firstLineChars="200"/>
              <w:rPr>
                <w:rFonts w:hint="eastAsia" w:ascii="宋体" w:hAnsi="宋体" w:eastAsia="宋体" w:cs="宋体"/>
                <w:sz w:val="24"/>
                <w:szCs w:val="24"/>
                <w:highlight w:val="none"/>
                <w:lang w:eastAsia="zh-CN"/>
              </w:rPr>
            </w:pPr>
            <w:r>
              <w:rPr>
                <w:rFonts w:ascii="宋体" w:hAnsi="宋体" w:cs="宋体"/>
                <w:sz w:val="24"/>
                <w:szCs w:val="24"/>
                <w:highlight w:val="none"/>
              </w:rPr>
              <w:t>根据</w:t>
            </w:r>
            <w:r>
              <w:rPr>
                <w:rFonts w:hint="eastAsia" w:ascii="宋体" w:hAnsi="宋体" w:cs="宋体"/>
                <w:sz w:val="24"/>
                <w:szCs w:val="24"/>
                <w:highlight w:val="none"/>
                <w:lang w:val="en-US" w:eastAsia="zh-CN"/>
              </w:rPr>
              <w:t>江苏新思维检测科技有限公司</w:t>
            </w:r>
            <w:r>
              <w:rPr>
                <w:rFonts w:ascii="宋体" w:hAnsi="宋体" w:cs="宋体"/>
                <w:sz w:val="24"/>
                <w:szCs w:val="24"/>
                <w:highlight w:val="none"/>
              </w:rPr>
              <w:t>监测报告结果表明，本项目</w:t>
            </w:r>
            <w:r>
              <w:rPr>
                <w:rFonts w:hint="eastAsia" w:ascii="宋体" w:hAnsi="宋体" w:cs="宋体"/>
                <w:sz w:val="24"/>
                <w:szCs w:val="24"/>
                <w:highlight w:val="none"/>
              </w:rPr>
              <w:t>风电场</w:t>
            </w:r>
            <w:r>
              <w:rPr>
                <w:rFonts w:ascii="宋体" w:hAnsi="宋体" w:cs="宋体"/>
                <w:sz w:val="24"/>
                <w:szCs w:val="24"/>
                <w:highlight w:val="none"/>
              </w:rPr>
              <w:t>噪声均达到《工业企业厂界噪声标准》（GB12348-2008）</w:t>
            </w:r>
            <w:r>
              <w:rPr>
                <w:rFonts w:hint="eastAsia" w:ascii="宋体" w:hAnsi="宋体" w:cs="宋体"/>
                <w:sz w:val="24"/>
                <w:szCs w:val="24"/>
                <w:highlight w:val="none"/>
              </w:rPr>
              <w:t>1</w:t>
            </w:r>
            <w:r>
              <w:rPr>
                <w:rFonts w:ascii="宋体" w:hAnsi="宋体" w:cs="宋体"/>
                <w:sz w:val="24"/>
                <w:szCs w:val="24"/>
                <w:highlight w:val="none"/>
              </w:rPr>
              <w:t xml:space="preserve"> 类标准</w:t>
            </w:r>
            <w:r>
              <w:rPr>
                <w:rFonts w:hint="eastAsia" w:ascii="宋体" w:hAnsi="宋体" w:cs="宋体"/>
                <w:sz w:val="24"/>
                <w:szCs w:val="24"/>
                <w:highlight w:val="none"/>
                <w:lang w:eastAsia="zh-CN"/>
              </w:rPr>
              <w:t>。</w:t>
            </w:r>
          </w:p>
          <w:p>
            <w:pPr>
              <w:spacing w:line="360" w:lineRule="auto"/>
              <w:ind w:firstLine="480" w:firstLineChars="200"/>
              <w:rPr>
                <w:rFonts w:ascii="宋体" w:hAnsi="宋体" w:cs="宋体"/>
                <w:sz w:val="24"/>
                <w:szCs w:val="24"/>
              </w:rPr>
            </w:pPr>
            <w:r>
              <w:rPr>
                <w:rFonts w:ascii="宋体" w:hAnsi="宋体" w:cs="宋体"/>
                <w:sz w:val="24"/>
                <w:szCs w:val="24"/>
              </w:rPr>
              <w:t>（</w:t>
            </w:r>
            <w:r>
              <w:rPr>
                <w:rFonts w:hint="eastAsia" w:ascii="宋体" w:hAnsi="宋体" w:cs="宋体"/>
                <w:sz w:val="24"/>
                <w:szCs w:val="24"/>
              </w:rPr>
              <w:t>6</w:t>
            </w:r>
            <w:r>
              <w:rPr>
                <w:rFonts w:ascii="宋体" w:hAnsi="宋体" w:cs="宋体"/>
                <w:sz w:val="24"/>
                <w:szCs w:val="24"/>
              </w:rPr>
              <w:t>）环境管理</w:t>
            </w:r>
          </w:p>
          <w:p>
            <w:pPr>
              <w:spacing w:line="360" w:lineRule="auto"/>
              <w:ind w:firstLine="480" w:firstLineChars="200"/>
              <w:rPr>
                <w:rFonts w:ascii="宋体" w:hAnsi="宋体" w:cs="宋体"/>
                <w:sz w:val="24"/>
                <w:szCs w:val="24"/>
              </w:rPr>
            </w:pPr>
            <w:r>
              <w:rPr>
                <w:rFonts w:ascii="宋体" w:hAnsi="宋体" w:cs="宋体"/>
                <w:sz w:val="24"/>
                <w:szCs w:val="24"/>
              </w:rPr>
              <w:t>工程建设、管理有关单位环境保护组织机构健全，环境保护规章制度比较完善，环评文件中提出的环境监测计划已落实。</w:t>
            </w:r>
          </w:p>
          <w:p>
            <w:pPr>
              <w:spacing w:line="360" w:lineRule="auto"/>
              <w:ind w:firstLine="480" w:firstLineChars="200"/>
              <w:rPr>
                <w:rFonts w:ascii="宋体" w:hAnsi="宋体" w:cs="宋体"/>
                <w:sz w:val="24"/>
                <w:szCs w:val="24"/>
              </w:rPr>
            </w:pPr>
            <w:r>
              <w:rPr>
                <w:rFonts w:ascii="宋体" w:hAnsi="宋体" w:cs="宋体"/>
                <w:sz w:val="24"/>
                <w:szCs w:val="24"/>
              </w:rPr>
              <w:t>（</w:t>
            </w:r>
            <w:r>
              <w:rPr>
                <w:rFonts w:hint="eastAsia" w:ascii="宋体" w:hAnsi="宋体" w:cs="宋体"/>
                <w:sz w:val="24"/>
                <w:szCs w:val="24"/>
              </w:rPr>
              <w:t>7</w:t>
            </w:r>
            <w:r>
              <w:rPr>
                <w:rFonts w:ascii="宋体" w:hAnsi="宋体" w:cs="宋体"/>
                <w:sz w:val="24"/>
                <w:szCs w:val="24"/>
              </w:rPr>
              <w:t>）公众意见调查</w:t>
            </w:r>
          </w:p>
          <w:p>
            <w:pPr>
              <w:spacing w:line="360" w:lineRule="auto"/>
              <w:ind w:firstLine="480" w:firstLineChars="200"/>
              <w:rPr>
                <w:rFonts w:ascii="宋体" w:hAnsi="宋体" w:cs="宋体"/>
                <w:sz w:val="24"/>
                <w:szCs w:val="24"/>
              </w:rPr>
            </w:pPr>
            <w:r>
              <w:rPr>
                <w:rFonts w:ascii="宋体" w:hAnsi="宋体" w:cs="宋体"/>
                <w:sz w:val="24"/>
                <w:szCs w:val="24"/>
              </w:rPr>
              <w:t>验收公示期间，未收到公众关于本次验收工程环境保护方面的反馈意见。</w:t>
            </w:r>
          </w:p>
          <w:p>
            <w:pPr>
              <w:spacing w:line="360" w:lineRule="auto"/>
              <w:ind w:firstLine="480" w:firstLineChars="200"/>
              <w:rPr>
                <w:rFonts w:ascii="宋体" w:hAnsi="宋体" w:cs="宋体"/>
                <w:sz w:val="24"/>
                <w:szCs w:val="24"/>
              </w:rPr>
            </w:pPr>
            <w:r>
              <w:rPr>
                <w:rFonts w:ascii="宋体" w:hAnsi="宋体" w:cs="宋体"/>
                <w:sz w:val="24"/>
                <w:szCs w:val="24"/>
              </w:rPr>
              <w:t>（</w:t>
            </w:r>
            <w:r>
              <w:rPr>
                <w:rFonts w:hint="eastAsia" w:ascii="宋体" w:hAnsi="宋体" w:cs="宋体"/>
                <w:sz w:val="24"/>
                <w:szCs w:val="24"/>
              </w:rPr>
              <w:t>8</w:t>
            </w:r>
            <w:r>
              <w:rPr>
                <w:rFonts w:ascii="宋体" w:hAnsi="宋体" w:cs="宋体"/>
                <w:sz w:val="24"/>
                <w:szCs w:val="24"/>
              </w:rPr>
              <w:t>）审批手续及资料完备程度</w:t>
            </w:r>
          </w:p>
          <w:p>
            <w:pPr>
              <w:spacing w:line="360" w:lineRule="auto"/>
              <w:ind w:firstLine="480" w:firstLineChars="200"/>
              <w:rPr>
                <w:rFonts w:ascii="宋体" w:hAnsi="宋体" w:cs="宋体"/>
                <w:sz w:val="24"/>
                <w:szCs w:val="24"/>
              </w:rPr>
            </w:pPr>
            <w:r>
              <w:rPr>
                <w:rFonts w:ascii="宋体" w:hAnsi="宋体" w:cs="宋体"/>
                <w:sz w:val="24"/>
                <w:szCs w:val="24"/>
              </w:rPr>
              <w:t>本次验收工程选址、可行性研究、初步设计、环境影响评价审查、审批手续完备，技术资料与环境保护档案资料齐全。</w:t>
            </w:r>
          </w:p>
          <w:p>
            <w:pPr>
              <w:spacing w:line="360" w:lineRule="auto"/>
              <w:ind w:firstLine="480" w:firstLineChars="200"/>
              <w:rPr>
                <w:rFonts w:ascii="宋体" w:hAnsi="宋体" w:cs="宋体"/>
                <w:sz w:val="24"/>
                <w:szCs w:val="24"/>
              </w:rPr>
            </w:pPr>
            <w:r>
              <w:rPr>
                <w:rFonts w:ascii="宋体" w:hAnsi="宋体" w:cs="宋体"/>
                <w:sz w:val="24"/>
                <w:szCs w:val="24"/>
              </w:rPr>
              <w:t>（</w:t>
            </w:r>
            <w:r>
              <w:rPr>
                <w:rFonts w:hint="eastAsia" w:ascii="宋体" w:hAnsi="宋体" w:cs="宋体"/>
                <w:sz w:val="24"/>
                <w:szCs w:val="24"/>
              </w:rPr>
              <w:t>9</w:t>
            </w:r>
            <w:r>
              <w:rPr>
                <w:rFonts w:ascii="宋体" w:hAnsi="宋体" w:cs="宋体"/>
                <w:sz w:val="24"/>
                <w:szCs w:val="24"/>
              </w:rPr>
              <w:t>）调查结论</w:t>
            </w:r>
          </w:p>
          <w:p>
            <w:pPr>
              <w:spacing w:line="360" w:lineRule="auto"/>
              <w:ind w:firstLine="480" w:firstLineChars="200"/>
              <w:rPr>
                <w:rFonts w:ascii="宋体" w:hAnsi="宋体" w:cs="宋体"/>
                <w:sz w:val="24"/>
                <w:szCs w:val="24"/>
              </w:rPr>
            </w:pPr>
            <w:r>
              <w:rPr>
                <w:rFonts w:ascii="宋体" w:hAnsi="宋体" w:cs="宋体"/>
                <w:sz w:val="24"/>
                <w:szCs w:val="24"/>
              </w:rPr>
              <w:t>综上所述，本次验收的</w:t>
            </w:r>
            <w:r>
              <w:rPr>
                <w:rFonts w:hint="eastAsia" w:ascii="宋体" w:hAnsi="宋体" w:cs="宋体"/>
                <w:sz w:val="24"/>
                <w:szCs w:val="24"/>
                <w:lang w:eastAsia="zh-CN"/>
              </w:rPr>
              <w:t>邳州市车辐山戴庄风电场项目</w:t>
            </w:r>
            <w:r>
              <w:rPr>
                <w:rFonts w:hint="eastAsia" w:ascii="宋体" w:hAnsi="宋体" w:cs="宋体"/>
                <w:sz w:val="24"/>
                <w:szCs w:val="24"/>
              </w:rPr>
              <w:t>项</w:t>
            </w:r>
            <w:r>
              <w:rPr>
                <w:rFonts w:hint="eastAsia" w:ascii="宋体" w:hAnsi="宋体" w:cs="宋体"/>
                <w:color w:val="auto"/>
                <w:sz w:val="24"/>
                <w:szCs w:val="24"/>
              </w:rPr>
              <w:t>工程</w:t>
            </w:r>
            <w:r>
              <w:rPr>
                <w:rFonts w:ascii="宋体" w:hAnsi="宋体" w:cs="宋体"/>
                <w:sz w:val="24"/>
                <w:szCs w:val="24"/>
              </w:rPr>
              <w:t>符合《建设项目竣工 环境保护验收管理办法》</w:t>
            </w:r>
            <w:r>
              <w:rPr>
                <w:rFonts w:ascii="宋体" w:hAnsi="宋体" w:cs="宋体"/>
                <w:b w:val="0"/>
                <w:bCs w:val="0"/>
                <w:color w:val="auto"/>
                <w:sz w:val="24"/>
                <w:szCs w:val="24"/>
              </w:rPr>
              <w:t>（</w:t>
            </w:r>
            <w:r>
              <w:rPr>
                <w:rFonts w:hint="eastAsia" w:ascii="宋体" w:hAnsi="宋体" w:cs="宋体"/>
                <w:b w:val="0"/>
                <w:bCs w:val="0"/>
                <w:color w:val="auto"/>
                <w:sz w:val="24"/>
                <w:szCs w:val="24"/>
                <w:lang w:val="en-US" w:eastAsia="zh-CN"/>
              </w:rPr>
              <w:t>国环规环评[2017]4号</w:t>
            </w:r>
            <w:r>
              <w:rPr>
                <w:rFonts w:ascii="宋体" w:hAnsi="宋体" w:cs="宋体"/>
                <w:b w:val="0"/>
                <w:bCs w:val="0"/>
                <w:color w:val="auto"/>
                <w:sz w:val="24"/>
                <w:szCs w:val="24"/>
              </w:rPr>
              <w:t>）</w:t>
            </w:r>
            <w:r>
              <w:rPr>
                <w:rFonts w:ascii="宋体" w:hAnsi="宋体" w:cs="宋体"/>
                <w:sz w:val="24"/>
                <w:szCs w:val="24"/>
              </w:rPr>
              <w:t>的有关规定，具备竣工验收的基本条件，建议通过竣工环境保护验收。</w:t>
            </w: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pStyle w:val="32"/>
              <w:rPr>
                <w:rFonts w:ascii="宋体" w:hAnsi="宋体" w:cs="宋体"/>
                <w:sz w:val="24"/>
                <w:szCs w:val="24"/>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pStyle w:val="32"/>
              <w:ind w:firstLine="0" w:firstLineChars="0"/>
              <w:rPr>
                <w:szCs w:val="21"/>
              </w:rPr>
            </w:pPr>
          </w:p>
        </w:tc>
      </w:tr>
      <w:bookmarkEnd w:id="13"/>
    </w:tbl>
    <w:p>
      <w:pPr>
        <w:keepNext/>
        <w:keepLines/>
        <w:tabs>
          <w:tab w:val="left" w:pos="7275"/>
        </w:tabs>
        <w:spacing w:beforeLines="50" w:afterLines="50"/>
        <w:ind w:left="-210" w:leftChars="-100"/>
        <w:rPr>
          <w:sz w:val="28"/>
          <w:szCs w:val="28"/>
        </w:r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pPr>
        <w:pStyle w:val="3"/>
        <w:tabs>
          <w:tab w:val="left" w:pos="7275"/>
        </w:tabs>
        <w:spacing w:beforeLines="50" w:afterLines="50" w:line="240" w:lineRule="auto"/>
        <w:ind w:left="-210" w:leftChars="-100"/>
        <w:rPr>
          <w:sz w:val="28"/>
          <w:szCs w:val="28"/>
        </w:rPr>
      </w:pPr>
      <w:bookmarkStart w:id="20" w:name="_Toc22574"/>
      <w:r>
        <w:drawing>
          <wp:anchor distT="0" distB="0" distL="114300" distR="114300" simplePos="0" relativeHeight="251666432" behindDoc="0" locked="0" layoutInCell="1" allowOverlap="1">
            <wp:simplePos x="0" y="0"/>
            <wp:positionH relativeFrom="margin">
              <wp:posOffset>222885</wp:posOffset>
            </wp:positionH>
            <wp:positionV relativeFrom="margin">
              <wp:posOffset>361950</wp:posOffset>
            </wp:positionV>
            <wp:extent cx="8743950" cy="5457825"/>
            <wp:effectExtent l="19050" t="19050" r="19050" b="28575"/>
            <wp:wrapSquare wrapText="bothSides"/>
            <wp:docPr id="23" name="图片 4" descr="360截图2014111221383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360截图20141112213839756"/>
                    <pic:cNvPicPr>
                      <a:picLocks noChangeAspect="1"/>
                    </pic:cNvPicPr>
                  </pic:nvPicPr>
                  <pic:blipFill>
                    <a:blip r:embed="rId27"/>
                    <a:stretch>
                      <a:fillRect/>
                    </a:stretch>
                  </pic:blipFill>
                  <pic:spPr>
                    <a:xfrm>
                      <a:off x="0" y="0"/>
                      <a:ext cx="8743950" cy="5457825"/>
                    </a:xfrm>
                    <a:prstGeom prst="rect">
                      <a:avLst/>
                    </a:prstGeom>
                    <a:noFill/>
                    <a:ln w="19050" cap="flat" cmpd="sng">
                      <a:solidFill>
                        <a:srgbClr val="000000"/>
                      </a:solidFill>
                      <a:prstDash val="solid"/>
                      <a:miter/>
                      <a:headEnd type="none" w="med" len="med"/>
                      <a:tailEnd type="none" w="med" len="med"/>
                    </a:ln>
                  </pic:spPr>
                </pic:pic>
              </a:graphicData>
            </a:graphic>
          </wp:anchor>
        </w:drawing>
      </w:r>
      <w:r>
        <w:rPr>
          <w:sz w:val="28"/>
          <w:szCs w:val="28"/>
        </w:rPr>
        <w:t>附件1、项目地理位置图</w:t>
      </w:r>
      <w:bookmarkEnd w:id="20"/>
    </w:p>
    <w:p>
      <w:pPr>
        <w:pStyle w:val="2"/>
        <w:jc w:val="center"/>
        <w:sectPr>
          <w:footerReference r:id="rId5"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pPr>
        <w:pStyle w:val="3"/>
        <w:tabs>
          <w:tab w:val="left" w:pos="7275"/>
        </w:tabs>
        <w:spacing w:beforeLines="50" w:afterLines="50" w:line="240" w:lineRule="auto"/>
        <w:ind w:left="-210" w:leftChars="-100"/>
        <w:rPr>
          <w:sz w:val="28"/>
          <w:szCs w:val="28"/>
        </w:rPr>
      </w:pPr>
      <w:bookmarkStart w:id="21" w:name="_Toc930"/>
      <w:r>
        <w:rPr>
          <w:sz w:val="28"/>
          <w:szCs w:val="28"/>
        </w:rPr>
        <w:t>附件2、建设项目周边概况图</w:t>
      </w:r>
      <w:bookmarkEnd w:id="21"/>
    </w:p>
    <w:p>
      <w:pPr>
        <w:jc w:val="center"/>
      </w:pPr>
      <w:r>
        <w:drawing>
          <wp:inline distT="0" distB="0" distL="114300" distR="114300">
            <wp:extent cx="8576310" cy="5611495"/>
            <wp:effectExtent l="0" t="0" r="1524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8576310" cy="5611495"/>
                    </a:xfrm>
                    <a:prstGeom prst="rect">
                      <a:avLst/>
                    </a:prstGeom>
                    <a:noFill/>
                    <a:ln>
                      <a:noFill/>
                    </a:ln>
                  </pic:spPr>
                </pic:pic>
              </a:graphicData>
            </a:graphic>
          </wp:inline>
        </w:drawing>
      </w:r>
    </w:p>
    <w:p>
      <w:pPr>
        <w:pStyle w:val="32"/>
        <w:jc w:val="center"/>
      </w:pPr>
      <w:r>
        <w:drawing>
          <wp:inline distT="0" distB="0" distL="114300" distR="114300">
            <wp:extent cx="8680450" cy="5981700"/>
            <wp:effectExtent l="0" t="0" r="635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9"/>
                    <a:stretch>
                      <a:fillRect/>
                    </a:stretch>
                  </pic:blipFill>
                  <pic:spPr>
                    <a:xfrm>
                      <a:off x="0" y="0"/>
                      <a:ext cx="8680450" cy="5981700"/>
                    </a:xfrm>
                    <a:prstGeom prst="rect">
                      <a:avLst/>
                    </a:prstGeom>
                    <a:noFill/>
                    <a:ln>
                      <a:noFill/>
                    </a:ln>
                  </pic:spPr>
                </pic:pic>
              </a:graphicData>
            </a:graphic>
          </wp:inline>
        </w:drawing>
      </w:r>
    </w:p>
    <w:p>
      <w:pPr>
        <w:pStyle w:val="3"/>
        <w:tabs>
          <w:tab w:val="left" w:pos="7275"/>
        </w:tabs>
        <w:spacing w:beforeLines="50" w:afterLines="50" w:line="240" w:lineRule="auto"/>
        <w:ind w:left="-210" w:leftChars="-100"/>
        <w:rPr>
          <w:sz w:val="28"/>
          <w:szCs w:val="28"/>
        </w:rPr>
      </w:pPr>
      <w:bookmarkStart w:id="22" w:name="_Toc14670"/>
      <w:r>
        <w:rPr>
          <w:sz w:val="28"/>
          <w:szCs w:val="28"/>
        </w:rPr>
        <w:t>附件3、建设项目平面布置图</w:t>
      </w:r>
      <w:bookmarkEnd w:id="22"/>
    </w:p>
    <w:p>
      <w:pPr>
        <w:spacing w:line="360" w:lineRule="auto"/>
        <w:jc w:val="center"/>
        <w:rPr>
          <w:b/>
          <w:sz w:val="28"/>
          <w:szCs w:val="28"/>
        </w:rPr>
      </w:pPr>
      <w:r>
        <w:drawing>
          <wp:inline distT="0" distB="0" distL="114300" distR="114300">
            <wp:extent cx="8298180" cy="5681980"/>
            <wp:effectExtent l="0" t="0" r="7620" b="1397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0"/>
                    <a:stretch>
                      <a:fillRect/>
                    </a:stretch>
                  </pic:blipFill>
                  <pic:spPr>
                    <a:xfrm>
                      <a:off x="0" y="0"/>
                      <a:ext cx="8298180" cy="5681980"/>
                    </a:xfrm>
                    <a:prstGeom prst="rect">
                      <a:avLst/>
                    </a:prstGeom>
                    <a:noFill/>
                    <a:ln>
                      <a:noFill/>
                    </a:ln>
                  </pic:spPr>
                </pic:pic>
              </a:graphicData>
            </a:graphic>
          </wp:inline>
        </w:drawing>
      </w:r>
    </w:p>
    <w:p>
      <w:pPr>
        <w:pStyle w:val="3"/>
        <w:tabs>
          <w:tab w:val="left" w:pos="7275"/>
        </w:tabs>
        <w:spacing w:beforeLines="50" w:afterLines="50" w:line="240" w:lineRule="auto"/>
        <w:ind w:left="-210" w:leftChars="-100"/>
        <w:rPr>
          <w:sz w:val="28"/>
          <w:szCs w:val="28"/>
        </w:rPr>
      </w:pPr>
      <w:bookmarkStart w:id="23" w:name="_Toc29597"/>
      <w:r>
        <w:rPr>
          <w:sz w:val="28"/>
          <w:szCs w:val="28"/>
        </w:rPr>
        <w:t>附件4、建设项目竣工环境保护“三同时”验收登记表</w:t>
      </w:r>
      <w:bookmarkEnd w:id="23"/>
    </w:p>
    <w:p>
      <w:pPr>
        <w:rPr>
          <w:b/>
          <w:szCs w:val="21"/>
        </w:rPr>
      </w:pPr>
      <w:r>
        <w:rPr>
          <w:b/>
          <w:szCs w:val="21"/>
        </w:rPr>
        <w:t>填表单位（盖章）：                                 填表人（签字）：                              项目经办人（签字）：</w:t>
      </w:r>
    </w:p>
    <w:tbl>
      <w:tblPr>
        <w:tblStyle w:val="33"/>
        <w:tblW w:w="15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73"/>
        <w:gridCol w:w="1005"/>
        <w:gridCol w:w="560"/>
        <w:gridCol w:w="522"/>
        <w:gridCol w:w="1083"/>
        <w:gridCol w:w="92"/>
        <w:gridCol w:w="720"/>
        <w:gridCol w:w="271"/>
        <w:gridCol w:w="1083"/>
        <w:gridCol w:w="1044"/>
        <w:gridCol w:w="38"/>
        <w:gridCol w:w="529"/>
        <w:gridCol w:w="554"/>
        <w:gridCol w:w="1083"/>
        <w:gridCol w:w="207"/>
        <w:gridCol w:w="427"/>
        <w:gridCol w:w="449"/>
        <w:gridCol w:w="1083"/>
        <w:gridCol w:w="525"/>
        <w:gridCol w:w="558"/>
        <w:gridCol w:w="392"/>
        <w:gridCol w:w="253"/>
        <w:gridCol w:w="437"/>
        <w:gridCol w:w="443"/>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textDirection w:val="tbRlV"/>
            <w:vAlign w:val="center"/>
          </w:tcPr>
          <w:p>
            <w:pPr>
              <w:pStyle w:val="118"/>
              <w:rPr>
                <w:rFonts w:ascii="Times New Roman" w:hAnsi="Times New Roman"/>
                <w:b/>
              </w:rPr>
            </w:pPr>
            <w:r>
              <w:rPr>
                <w:rFonts w:ascii="Times New Roman" w:hAnsi="Times New Roman"/>
                <w:b/>
              </w:rPr>
              <w:t>建设项目</w:t>
            </w:r>
          </w:p>
        </w:tc>
        <w:tc>
          <w:tcPr>
            <w:tcW w:w="2278" w:type="dxa"/>
            <w:gridSpan w:val="2"/>
            <w:vAlign w:val="center"/>
          </w:tcPr>
          <w:p>
            <w:pPr>
              <w:pStyle w:val="118"/>
              <w:rPr>
                <w:rFonts w:ascii="Times New Roman" w:hAnsi="Times New Roman"/>
                <w:b/>
              </w:rPr>
            </w:pPr>
            <w:r>
              <w:rPr>
                <w:rFonts w:ascii="Times New Roman" w:hAnsi="Times New Roman"/>
                <w:b/>
              </w:rPr>
              <w:t>项目名称</w:t>
            </w:r>
          </w:p>
        </w:tc>
        <w:tc>
          <w:tcPr>
            <w:tcW w:w="2977" w:type="dxa"/>
            <w:gridSpan w:val="5"/>
            <w:vAlign w:val="center"/>
          </w:tcPr>
          <w:p>
            <w:pPr>
              <w:pStyle w:val="118"/>
              <w:rPr>
                <w:rFonts w:ascii="Times New Roman" w:hAnsi="Times New Roman"/>
              </w:rPr>
            </w:pPr>
            <w:r>
              <w:rPr>
                <w:rFonts w:hint="eastAsia" w:ascii="Times New Roman" w:hAnsi="Times New Roman"/>
                <w:lang w:eastAsia="zh-CN"/>
              </w:rPr>
              <w:t>邳州市车辐山戴庄风电场项目</w:t>
            </w:r>
          </w:p>
        </w:tc>
        <w:tc>
          <w:tcPr>
            <w:tcW w:w="2398" w:type="dxa"/>
            <w:gridSpan w:val="3"/>
            <w:vAlign w:val="center"/>
          </w:tcPr>
          <w:p>
            <w:pPr>
              <w:pStyle w:val="118"/>
              <w:rPr>
                <w:rFonts w:ascii="Times New Roman" w:hAnsi="Times New Roman"/>
                <w:b/>
              </w:rPr>
            </w:pPr>
            <w:r>
              <w:rPr>
                <w:rFonts w:ascii="Times New Roman" w:hAnsi="Times New Roman"/>
                <w:b/>
              </w:rPr>
              <w:t>项目代码</w:t>
            </w:r>
          </w:p>
        </w:tc>
        <w:tc>
          <w:tcPr>
            <w:tcW w:w="2838" w:type="dxa"/>
            <w:gridSpan w:val="6"/>
            <w:vAlign w:val="center"/>
          </w:tcPr>
          <w:p>
            <w:pPr>
              <w:pStyle w:val="118"/>
              <w:rPr>
                <w:rFonts w:ascii="Times New Roman" w:hAnsi="Times New Roman"/>
              </w:rPr>
            </w:pPr>
            <w:r>
              <w:rPr>
                <w:rFonts w:hint="eastAsia" w:ascii="Times New Roman" w:hAnsi="Times New Roman"/>
                <w:color w:val="000000" w:themeColor="text1"/>
              </w:rPr>
              <w:t>/</w:t>
            </w:r>
          </w:p>
        </w:tc>
        <w:tc>
          <w:tcPr>
            <w:tcW w:w="2057" w:type="dxa"/>
            <w:gridSpan w:val="3"/>
            <w:vAlign w:val="center"/>
          </w:tcPr>
          <w:p>
            <w:pPr>
              <w:pStyle w:val="118"/>
              <w:rPr>
                <w:rFonts w:ascii="Times New Roman" w:hAnsi="Times New Roman"/>
                <w:b/>
              </w:rPr>
            </w:pPr>
            <w:r>
              <w:rPr>
                <w:rFonts w:ascii="Times New Roman" w:hAnsi="Times New Roman"/>
                <w:b/>
              </w:rPr>
              <w:t>建设地点</w:t>
            </w:r>
          </w:p>
        </w:tc>
        <w:tc>
          <w:tcPr>
            <w:tcW w:w="2772" w:type="dxa"/>
            <w:gridSpan w:val="6"/>
            <w:vAlign w:val="center"/>
          </w:tcPr>
          <w:p>
            <w:pPr>
              <w:pStyle w:val="118"/>
              <w:rPr>
                <w:rFonts w:ascii="Times New Roman" w:hAnsi="Times New Roman"/>
              </w:rPr>
            </w:pPr>
            <w:r>
              <w:rPr>
                <w:rFonts w:hint="eastAsia" w:ascii="Times New Roman" w:hAnsi="Times New Roman"/>
                <w:color w:val="000000"/>
                <w:szCs w:val="21"/>
                <w:lang w:eastAsia="zh-CN"/>
              </w:rPr>
              <w:t>邳州市车辐山镇、戴庄镇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行业类别（分类管理名录）</w:t>
            </w:r>
          </w:p>
        </w:tc>
        <w:tc>
          <w:tcPr>
            <w:tcW w:w="2977" w:type="dxa"/>
            <w:gridSpan w:val="5"/>
            <w:vAlign w:val="center"/>
          </w:tcPr>
          <w:p>
            <w:pPr>
              <w:pStyle w:val="118"/>
              <w:rPr>
                <w:rFonts w:ascii="Times New Roman" w:hAnsi="Times New Roman"/>
              </w:rPr>
            </w:pPr>
            <w:r>
              <w:rPr>
                <w:rFonts w:hint="eastAsia" w:ascii="Times New Roman" w:hAnsi="Times New Roman"/>
              </w:rPr>
              <w:t>D4415风力发电</w:t>
            </w:r>
          </w:p>
        </w:tc>
        <w:tc>
          <w:tcPr>
            <w:tcW w:w="2398" w:type="dxa"/>
            <w:gridSpan w:val="3"/>
            <w:vAlign w:val="center"/>
          </w:tcPr>
          <w:p>
            <w:pPr>
              <w:pStyle w:val="118"/>
              <w:rPr>
                <w:rFonts w:ascii="Times New Roman" w:hAnsi="Times New Roman"/>
              </w:rPr>
            </w:pPr>
            <w:r>
              <w:rPr>
                <w:rFonts w:hint="eastAsia" w:ascii="Times New Roman" w:hAnsi="Times New Roman"/>
              </w:rPr>
              <w:t>建设性质</w:t>
            </w:r>
          </w:p>
        </w:tc>
        <w:tc>
          <w:tcPr>
            <w:tcW w:w="4895" w:type="dxa"/>
            <w:gridSpan w:val="9"/>
            <w:vAlign w:val="center"/>
          </w:tcPr>
          <w:p>
            <w:pPr>
              <w:pStyle w:val="118"/>
              <w:rPr>
                <w:rFonts w:ascii="Times New Roman" w:hAnsi="Times New Roman"/>
              </w:rPr>
            </w:pPr>
            <w:r>
              <w:rPr>
                <w:rFonts w:ascii="Times New Roman" w:hAnsi="Times New Roman"/>
              </w:rPr>
              <w:sym w:font="Wingdings 2" w:char="0052"/>
            </w:r>
            <w:r>
              <w:rPr>
                <w:rFonts w:ascii="Times New Roman" w:hAnsi="Times New Roman"/>
              </w:rPr>
              <w:t xml:space="preserve">新建 </w:t>
            </w:r>
            <w:r>
              <w:rPr>
                <w:rFonts w:ascii="Times New Roman" w:hAnsi="Times New Roman"/>
              </w:rPr>
              <w:sym w:font="Wingdings 2" w:char="00A3"/>
            </w:r>
            <w:r>
              <w:rPr>
                <w:rFonts w:ascii="Times New Roman" w:hAnsi="Times New Roman"/>
              </w:rPr>
              <w:t xml:space="preserve">改扩建 </w:t>
            </w:r>
            <w:r>
              <w:rPr>
                <w:rFonts w:ascii="Times New Roman" w:hAnsi="Times New Roman"/>
              </w:rPr>
              <w:sym w:font="Wingdings 2" w:char="00A3"/>
            </w:r>
            <w:r>
              <w:rPr>
                <w:rFonts w:ascii="Times New Roman" w:hAnsi="Times New Roman"/>
              </w:rPr>
              <w:t>技术改造</w:t>
            </w:r>
          </w:p>
        </w:tc>
        <w:tc>
          <w:tcPr>
            <w:tcW w:w="1203" w:type="dxa"/>
            <w:gridSpan w:val="3"/>
            <w:vAlign w:val="center"/>
          </w:tcPr>
          <w:p>
            <w:pPr>
              <w:pStyle w:val="118"/>
              <w:rPr>
                <w:rFonts w:ascii="Times New Roman" w:hAnsi="Times New Roman"/>
              </w:rPr>
            </w:pPr>
            <w:r>
              <w:rPr>
                <w:rFonts w:ascii="Times New Roman" w:hAnsi="Times New Roman"/>
              </w:rPr>
              <w:t>项目厂区中心经度/纬度</w:t>
            </w:r>
          </w:p>
        </w:tc>
        <w:tc>
          <w:tcPr>
            <w:tcW w:w="1569" w:type="dxa"/>
            <w:gridSpan w:val="3"/>
            <w:vAlign w:val="center"/>
          </w:tcPr>
          <w:p>
            <w:pPr>
              <w:pStyle w:val="118"/>
              <w:rPr>
                <w:rFonts w:ascii="Times New Roman" w:hAnsi="Times New Roman"/>
              </w:rPr>
            </w:pPr>
            <w:r>
              <w:rPr>
                <w:rFonts w:hint="eastAsia" w:ascii="Times New Roman" w:hAnsi="Times New Roman"/>
                <w:bCs/>
              </w:rPr>
              <w:t>118.052094</w:t>
            </w:r>
            <w:r>
              <w:rPr>
                <w:rFonts w:ascii="Times New Roman" w:hAnsi="Times New Roman"/>
                <w:color w:val="000000"/>
              </w:rPr>
              <w:t>E；</w:t>
            </w:r>
            <w:r>
              <w:rPr>
                <w:rFonts w:hint="eastAsia" w:ascii="Times New Roman" w:hAnsi="Times New Roman"/>
                <w:bCs/>
              </w:rPr>
              <w:t>33.915806</w:t>
            </w:r>
            <w:r>
              <w:rPr>
                <w:rFonts w:ascii="Times New Roman" w:hAnsi="Times New Roman"/>
                <w:bC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设计生产能力</w:t>
            </w:r>
          </w:p>
        </w:tc>
        <w:tc>
          <w:tcPr>
            <w:tcW w:w="2977" w:type="dxa"/>
            <w:gridSpan w:val="5"/>
            <w:vAlign w:val="center"/>
          </w:tcPr>
          <w:p>
            <w:pPr>
              <w:pStyle w:val="118"/>
              <w:rPr>
                <w:rFonts w:ascii="Times New Roman" w:hAnsi="Times New Roman"/>
              </w:rPr>
            </w:pPr>
            <w:r>
              <w:rPr>
                <w:rFonts w:hint="eastAsia"/>
                <w:spacing w:val="8"/>
                <w:szCs w:val="21"/>
                <w:lang w:val="en-US" w:eastAsia="zh-CN"/>
              </w:rPr>
              <w:t>20788万kWh/a</w:t>
            </w:r>
          </w:p>
        </w:tc>
        <w:tc>
          <w:tcPr>
            <w:tcW w:w="2398" w:type="dxa"/>
            <w:gridSpan w:val="3"/>
            <w:vAlign w:val="center"/>
          </w:tcPr>
          <w:p>
            <w:pPr>
              <w:pStyle w:val="118"/>
              <w:rPr>
                <w:rFonts w:ascii="Times New Roman" w:hAnsi="Times New Roman"/>
                <w:b/>
              </w:rPr>
            </w:pPr>
            <w:r>
              <w:rPr>
                <w:rFonts w:ascii="Times New Roman" w:hAnsi="Times New Roman"/>
                <w:b/>
              </w:rPr>
              <w:t>实际生产能力</w:t>
            </w:r>
          </w:p>
        </w:tc>
        <w:tc>
          <w:tcPr>
            <w:tcW w:w="2838" w:type="dxa"/>
            <w:gridSpan w:val="6"/>
            <w:vAlign w:val="center"/>
          </w:tcPr>
          <w:p>
            <w:pPr>
              <w:pStyle w:val="118"/>
              <w:rPr>
                <w:rFonts w:ascii="Times New Roman" w:hAnsi="Times New Roman"/>
              </w:rPr>
            </w:pPr>
            <w:r>
              <w:rPr>
                <w:rFonts w:hint="eastAsia"/>
                <w:spacing w:val="8"/>
                <w:szCs w:val="21"/>
                <w:lang w:val="en-US" w:eastAsia="zh-CN"/>
              </w:rPr>
              <w:t>20788万kWh/a</w:t>
            </w:r>
          </w:p>
        </w:tc>
        <w:tc>
          <w:tcPr>
            <w:tcW w:w="2057" w:type="dxa"/>
            <w:gridSpan w:val="3"/>
            <w:vAlign w:val="center"/>
          </w:tcPr>
          <w:p>
            <w:pPr>
              <w:pStyle w:val="118"/>
              <w:rPr>
                <w:rFonts w:ascii="Times New Roman" w:hAnsi="Times New Roman"/>
                <w:b/>
              </w:rPr>
            </w:pPr>
            <w:r>
              <w:rPr>
                <w:rFonts w:ascii="Times New Roman" w:hAnsi="Times New Roman"/>
                <w:b/>
              </w:rPr>
              <w:t>环评单位</w:t>
            </w:r>
          </w:p>
        </w:tc>
        <w:tc>
          <w:tcPr>
            <w:tcW w:w="2772" w:type="dxa"/>
            <w:gridSpan w:val="6"/>
            <w:vAlign w:val="center"/>
          </w:tcPr>
          <w:p>
            <w:pPr>
              <w:pStyle w:val="118"/>
              <w:rPr>
                <w:rFonts w:ascii="Times New Roman" w:hAnsi="Times New Roman"/>
              </w:rPr>
            </w:pPr>
            <w:r>
              <w:rPr>
                <w:rFonts w:hint="eastAsia" w:ascii="Times New Roman" w:hAnsi="Times New Roman"/>
              </w:rPr>
              <w:t>江苏新诚润科工程咨询有限公司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环评文件审批机关</w:t>
            </w:r>
          </w:p>
        </w:tc>
        <w:tc>
          <w:tcPr>
            <w:tcW w:w="2977" w:type="dxa"/>
            <w:gridSpan w:val="5"/>
            <w:vAlign w:val="center"/>
          </w:tcPr>
          <w:p>
            <w:pPr>
              <w:pStyle w:val="118"/>
              <w:rPr>
                <w:rFonts w:ascii="Times New Roman" w:hAnsi="Times New Roman"/>
              </w:rPr>
            </w:pPr>
            <w:r>
              <w:rPr>
                <w:rFonts w:hint="eastAsia" w:ascii="Times New Roman" w:hAnsi="Times New Roman"/>
                <w:lang w:val="en-US" w:eastAsia="zh-CN"/>
              </w:rPr>
              <w:t>邳州</w:t>
            </w:r>
            <w:r>
              <w:rPr>
                <w:rFonts w:hint="eastAsia" w:ascii="Times New Roman" w:hAnsi="Times New Roman"/>
              </w:rPr>
              <w:t>市生态</w:t>
            </w:r>
            <w:r>
              <w:rPr>
                <w:rFonts w:hint="eastAsia" w:ascii="Times New Roman" w:hAnsi="Times New Roman"/>
                <w:lang w:val="en-US" w:eastAsia="zh-CN"/>
              </w:rPr>
              <w:t>环境保护</w:t>
            </w:r>
            <w:r>
              <w:rPr>
                <w:rFonts w:hint="eastAsia" w:ascii="Times New Roman" w:hAnsi="Times New Roman"/>
              </w:rPr>
              <w:t>局</w:t>
            </w:r>
          </w:p>
        </w:tc>
        <w:tc>
          <w:tcPr>
            <w:tcW w:w="2398" w:type="dxa"/>
            <w:gridSpan w:val="3"/>
            <w:vAlign w:val="center"/>
          </w:tcPr>
          <w:p>
            <w:pPr>
              <w:pStyle w:val="118"/>
              <w:rPr>
                <w:rFonts w:ascii="Times New Roman" w:hAnsi="Times New Roman"/>
                <w:b/>
              </w:rPr>
            </w:pPr>
            <w:r>
              <w:rPr>
                <w:rFonts w:ascii="Times New Roman" w:hAnsi="Times New Roman"/>
                <w:b/>
              </w:rPr>
              <w:t>审批文号</w:t>
            </w:r>
          </w:p>
        </w:tc>
        <w:tc>
          <w:tcPr>
            <w:tcW w:w="2838" w:type="dxa"/>
            <w:gridSpan w:val="6"/>
            <w:vAlign w:val="center"/>
          </w:tcPr>
          <w:p>
            <w:pPr>
              <w:pStyle w:val="118"/>
              <w:rPr>
                <w:rFonts w:ascii="Times New Roman" w:hAnsi="Times New Roman"/>
              </w:rPr>
            </w:pPr>
            <w:r>
              <w:rPr>
                <w:rFonts w:hint="eastAsia" w:ascii="Times New Roman" w:hAnsi="Times New Roman"/>
                <w:lang w:val="en-US" w:eastAsia="zh-CN"/>
              </w:rPr>
              <w:t>邳环项表</w:t>
            </w:r>
            <w:r>
              <w:rPr>
                <w:rFonts w:hint="eastAsia" w:ascii="Times New Roman" w:hAnsi="Times New Roman"/>
              </w:rPr>
              <w:t>【20</w:t>
            </w:r>
            <w:r>
              <w:rPr>
                <w:rFonts w:hint="eastAsia" w:ascii="Times New Roman" w:hAnsi="Times New Roman"/>
                <w:lang w:val="en-US" w:eastAsia="zh-CN"/>
              </w:rPr>
              <w:t>19</w:t>
            </w:r>
            <w:r>
              <w:rPr>
                <w:rFonts w:hint="eastAsia" w:ascii="Times New Roman" w:hAnsi="Times New Roman"/>
              </w:rPr>
              <w:t>】</w:t>
            </w:r>
            <w:r>
              <w:rPr>
                <w:rFonts w:hint="eastAsia" w:ascii="Times New Roman" w:hAnsi="Times New Roman"/>
                <w:lang w:val="en-US" w:eastAsia="zh-CN"/>
              </w:rPr>
              <w:t>109</w:t>
            </w:r>
            <w:r>
              <w:rPr>
                <w:rFonts w:hint="eastAsia" w:ascii="Times New Roman" w:hAnsi="Times New Roman"/>
              </w:rPr>
              <w:t>号</w:t>
            </w:r>
          </w:p>
        </w:tc>
        <w:tc>
          <w:tcPr>
            <w:tcW w:w="2057" w:type="dxa"/>
            <w:gridSpan w:val="3"/>
            <w:vAlign w:val="center"/>
          </w:tcPr>
          <w:p>
            <w:pPr>
              <w:pStyle w:val="118"/>
              <w:rPr>
                <w:rFonts w:ascii="Times New Roman" w:hAnsi="Times New Roman"/>
                <w:b/>
              </w:rPr>
            </w:pPr>
            <w:r>
              <w:rPr>
                <w:rFonts w:ascii="Times New Roman" w:hAnsi="Times New Roman"/>
                <w:b/>
              </w:rPr>
              <w:t>环评文件类型</w:t>
            </w:r>
          </w:p>
        </w:tc>
        <w:tc>
          <w:tcPr>
            <w:tcW w:w="2772" w:type="dxa"/>
            <w:gridSpan w:val="6"/>
            <w:vAlign w:val="center"/>
          </w:tcPr>
          <w:p>
            <w:pPr>
              <w:pStyle w:val="118"/>
              <w:rPr>
                <w:rFonts w:ascii="Times New Roman" w:hAnsi="Times New Roman"/>
              </w:rPr>
            </w:pPr>
            <w:r>
              <w:rPr>
                <w:rFonts w:ascii="Times New Roman" w:hAnsi="Times New Roma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开工日期</w:t>
            </w:r>
          </w:p>
        </w:tc>
        <w:tc>
          <w:tcPr>
            <w:tcW w:w="2977" w:type="dxa"/>
            <w:gridSpan w:val="5"/>
            <w:vAlign w:val="center"/>
          </w:tcPr>
          <w:p>
            <w:pPr>
              <w:pStyle w:val="118"/>
              <w:rPr>
                <w:rFonts w:hint="default" w:ascii="Times New Roman" w:hAnsi="Times New Roman" w:eastAsia="宋体"/>
                <w:lang w:val="en-US" w:eastAsia="zh-CN"/>
              </w:rPr>
            </w:pPr>
            <w:r>
              <w:rPr>
                <w:rFonts w:hint="eastAsia" w:ascii="Times New Roman" w:hAnsi="Times New Roman"/>
                <w:highlight w:val="none"/>
                <w:lang w:val="en-US" w:eastAsia="zh-CN"/>
              </w:rPr>
              <w:t>2020.7</w:t>
            </w:r>
          </w:p>
        </w:tc>
        <w:tc>
          <w:tcPr>
            <w:tcW w:w="2398" w:type="dxa"/>
            <w:gridSpan w:val="3"/>
            <w:vAlign w:val="center"/>
          </w:tcPr>
          <w:p>
            <w:pPr>
              <w:pStyle w:val="118"/>
              <w:rPr>
                <w:rFonts w:ascii="Times New Roman" w:hAnsi="Times New Roman"/>
                <w:b/>
              </w:rPr>
            </w:pPr>
            <w:r>
              <w:rPr>
                <w:rFonts w:ascii="Times New Roman" w:hAnsi="Times New Roman"/>
                <w:b/>
              </w:rPr>
              <w:t>竣工日期</w:t>
            </w:r>
          </w:p>
        </w:tc>
        <w:tc>
          <w:tcPr>
            <w:tcW w:w="2838"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2021.10</w:t>
            </w:r>
          </w:p>
        </w:tc>
        <w:tc>
          <w:tcPr>
            <w:tcW w:w="2057" w:type="dxa"/>
            <w:gridSpan w:val="3"/>
            <w:vAlign w:val="center"/>
          </w:tcPr>
          <w:p>
            <w:pPr>
              <w:pStyle w:val="118"/>
              <w:rPr>
                <w:rFonts w:ascii="Times New Roman" w:hAnsi="Times New Roman"/>
                <w:b/>
              </w:rPr>
            </w:pPr>
            <w:r>
              <w:rPr>
                <w:rFonts w:ascii="Times New Roman" w:hAnsi="Times New Roman"/>
                <w:b/>
              </w:rPr>
              <w:t>排污许可证申领时间</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环保设施设计单位</w:t>
            </w:r>
          </w:p>
        </w:tc>
        <w:tc>
          <w:tcPr>
            <w:tcW w:w="2977" w:type="dxa"/>
            <w:gridSpan w:val="5"/>
            <w:vAlign w:val="center"/>
          </w:tcPr>
          <w:p>
            <w:pPr>
              <w:pStyle w:val="118"/>
              <w:rPr>
                <w:rFonts w:ascii="Times New Roman" w:hAnsi="Times New Roman"/>
              </w:rPr>
            </w:pPr>
            <w:r>
              <w:rPr>
                <w:rFonts w:hint="eastAsia"/>
                <w:szCs w:val="21"/>
              </w:rPr>
              <w:t>/</w:t>
            </w:r>
          </w:p>
        </w:tc>
        <w:tc>
          <w:tcPr>
            <w:tcW w:w="2398" w:type="dxa"/>
            <w:gridSpan w:val="3"/>
            <w:vAlign w:val="center"/>
          </w:tcPr>
          <w:p>
            <w:pPr>
              <w:pStyle w:val="118"/>
              <w:rPr>
                <w:rFonts w:ascii="Times New Roman" w:hAnsi="Times New Roman"/>
                <w:b/>
              </w:rPr>
            </w:pPr>
            <w:r>
              <w:rPr>
                <w:rFonts w:ascii="Times New Roman" w:hAnsi="Times New Roman"/>
                <w:b/>
              </w:rPr>
              <w:t>环保设施施工单位</w:t>
            </w:r>
          </w:p>
        </w:tc>
        <w:tc>
          <w:tcPr>
            <w:tcW w:w="2838" w:type="dxa"/>
            <w:gridSpan w:val="6"/>
            <w:vAlign w:val="center"/>
          </w:tcPr>
          <w:p>
            <w:pPr>
              <w:pStyle w:val="118"/>
              <w:rPr>
                <w:rFonts w:ascii="Times New Roman" w:hAnsi="Times New Roman"/>
              </w:rPr>
            </w:pPr>
            <w:r>
              <w:rPr>
                <w:rFonts w:hint="eastAsia"/>
                <w:szCs w:val="21"/>
              </w:rPr>
              <w:t>/</w:t>
            </w:r>
          </w:p>
        </w:tc>
        <w:tc>
          <w:tcPr>
            <w:tcW w:w="2057" w:type="dxa"/>
            <w:gridSpan w:val="3"/>
            <w:vAlign w:val="center"/>
          </w:tcPr>
          <w:p>
            <w:pPr>
              <w:pStyle w:val="118"/>
              <w:rPr>
                <w:rFonts w:ascii="Times New Roman" w:hAnsi="Times New Roman"/>
                <w:b/>
              </w:rPr>
            </w:pPr>
            <w:r>
              <w:rPr>
                <w:rFonts w:ascii="Times New Roman" w:hAnsi="Times New Roman"/>
                <w:b/>
              </w:rPr>
              <w:t>本工程排污许可证编号</w:t>
            </w:r>
          </w:p>
        </w:tc>
        <w:tc>
          <w:tcPr>
            <w:tcW w:w="2772" w:type="dxa"/>
            <w:gridSpan w:val="6"/>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验收单位</w:t>
            </w:r>
          </w:p>
        </w:tc>
        <w:tc>
          <w:tcPr>
            <w:tcW w:w="2977" w:type="dxa"/>
            <w:gridSpan w:val="5"/>
            <w:vAlign w:val="center"/>
          </w:tcPr>
          <w:p>
            <w:pPr>
              <w:pStyle w:val="118"/>
              <w:rPr>
                <w:rFonts w:ascii="Times New Roman" w:hAnsi="Times New Roman"/>
              </w:rPr>
            </w:pPr>
            <w:r>
              <w:rPr>
                <w:rFonts w:hint="eastAsia" w:ascii="Times New Roman" w:hAnsi="Times New Roman"/>
              </w:rPr>
              <w:t>华润新能源（</w:t>
            </w:r>
            <w:r>
              <w:rPr>
                <w:rFonts w:hint="eastAsia" w:ascii="Times New Roman" w:hAnsi="Times New Roman"/>
                <w:lang w:eastAsia="zh-CN"/>
              </w:rPr>
              <w:t>邳州</w:t>
            </w:r>
            <w:r>
              <w:rPr>
                <w:rFonts w:hint="eastAsia" w:ascii="Times New Roman" w:hAnsi="Times New Roman"/>
              </w:rPr>
              <w:t>）有限公司</w:t>
            </w:r>
          </w:p>
        </w:tc>
        <w:tc>
          <w:tcPr>
            <w:tcW w:w="2398" w:type="dxa"/>
            <w:gridSpan w:val="3"/>
            <w:vAlign w:val="center"/>
          </w:tcPr>
          <w:p>
            <w:pPr>
              <w:pStyle w:val="118"/>
              <w:rPr>
                <w:rFonts w:ascii="Times New Roman" w:hAnsi="Times New Roman"/>
                <w:b/>
              </w:rPr>
            </w:pPr>
            <w:r>
              <w:rPr>
                <w:rFonts w:ascii="Times New Roman" w:hAnsi="Times New Roman"/>
                <w:b/>
              </w:rPr>
              <w:t>环保设施监测单位</w:t>
            </w:r>
          </w:p>
        </w:tc>
        <w:tc>
          <w:tcPr>
            <w:tcW w:w="2838"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苏州馨思维检测科技有限公司</w:t>
            </w:r>
          </w:p>
        </w:tc>
        <w:tc>
          <w:tcPr>
            <w:tcW w:w="2057" w:type="dxa"/>
            <w:gridSpan w:val="3"/>
            <w:vAlign w:val="center"/>
          </w:tcPr>
          <w:p>
            <w:pPr>
              <w:pStyle w:val="118"/>
              <w:rPr>
                <w:rFonts w:ascii="Times New Roman" w:hAnsi="Times New Roman"/>
                <w:b/>
              </w:rPr>
            </w:pPr>
            <w:r>
              <w:rPr>
                <w:rFonts w:ascii="Times New Roman" w:hAnsi="Times New Roman"/>
                <w:b/>
              </w:rPr>
              <w:t>验收监测时工况</w:t>
            </w:r>
          </w:p>
        </w:tc>
        <w:tc>
          <w:tcPr>
            <w:tcW w:w="2772" w:type="dxa"/>
            <w:gridSpan w:val="6"/>
            <w:vAlign w:val="center"/>
          </w:tcPr>
          <w:p>
            <w:pPr>
              <w:pStyle w:val="118"/>
              <w:rPr>
                <w:rFonts w:ascii="Times New Roman" w:hAnsi="Times New Roman"/>
              </w:rPr>
            </w:pPr>
            <w:r>
              <w:rPr>
                <w:rFonts w:hint="eastAsia" w:ascii="Times New Roman" w:hAnsi="Times New Roman"/>
              </w:rPr>
              <w:t>工况正常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投资总概算（万元）</w:t>
            </w:r>
          </w:p>
        </w:tc>
        <w:tc>
          <w:tcPr>
            <w:tcW w:w="2977" w:type="dxa"/>
            <w:gridSpan w:val="5"/>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62513</w:t>
            </w:r>
          </w:p>
        </w:tc>
        <w:tc>
          <w:tcPr>
            <w:tcW w:w="2398" w:type="dxa"/>
            <w:gridSpan w:val="3"/>
            <w:vAlign w:val="center"/>
          </w:tcPr>
          <w:p>
            <w:pPr>
              <w:pStyle w:val="118"/>
              <w:rPr>
                <w:rFonts w:ascii="Times New Roman" w:hAnsi="Times New Roman"/>
                <w:b/>
              </w:rPr>
            </w:pPr>
            <w:r>
              <w:rPr>
                <w:rFonts w:ascii="Times New Roman" w:hAnsi="Times New Roman"/>
                <w:b/>
              </w:rPr>
              <w:t>环保投资总概算（万元）</w:t>
            </w:r>
          </w:p>
        </w:tc>
        <w:tc>
          <w:tcPr>
            <w:tcW w:w="2838"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400</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实际总投资（万元）</w:t>
            </w:r>
          </w:p>
        </w:tc>
        <w:tc>
          <w:tcPr>
            <w:tcW w:w="2977" w:type="dxa"/>
            <w:gridSpan w:val="5"/>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62513</w:t>
            </w:r>
          </w:p>
        </w:tc>
        <w:tc>
          <w:tcPr>
            <w:tcW w:w="2398" w:type="dxa"/>
            <w:gridSpan w:val="3"/>
            <w:vAlign w:val="center"/>
          </w:tcPr>
          <w:p>
            <w:pPr>
              <w:pStyle w:val="118"/>
              <w:rPr>
                <w:rFonts w:ascii="Times New Roman" w:hAnsi="Times New Roman"/>
                <w:b/>
              </w:rPr>
            </w:pPr>
            <w:r>
              <w:rPr>
                <w:rFonts w:ascii="Times New Roman" w:hAnsi="Times New Roman"/>
                <w:b/>
              </w:rPr>
              <w:t>实际环保投资（万元）</w:t>
            </w:r>
          </w:p>
        </w:tc>
        <w:tc>
          <w:tcPr>
            <w:tcW w:w="2838"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400</w:t>
            </w:r>
          </w:p>
        </w:tc>
        <w:tc>
          <w:tcPr>
            <w:tcW w:w="2057" w:type="dxa"/>
            <w:gridSpan w:val="3"/>
            <w:vAlign w:val="center"/>
          </w:tcPr>
          <w:p>
            <w:pPr>
              <w:pStyle w:val="118"/>
              <w:rPr>
                <w:rFonts w:ascii="Times New Roman" w:hAnsi="Times New Roman"/>
                <w:b/>
              </w:rPr>
            </w:pPr>
            <w:r>
              <w:rPr>
                <w:rFonts w:ascii="Times New Roman" w:hAnsi="Times New Roman"/>
                <w:b/>
              </w:rPr>
              <w:t>所占比例（%）</w:t>
            </w:r>
          </w:p>
        </w:tc>
        <w:tc>
          <w:tcPr>
            <w:tcW w:w="2772" w:type="dxa"/>
            <w:gridSpan w:val="6"/>
            <w:vAlign w:val="center"/>
          </w:tcPr>
          <w:p>
            <w:pPr>
              <w:pStyle w:val="118"/>
              <w:rPr>
                <w:rFonts w:hint="default" w:ascii="Times New Roman" w:hAnsi="Times New Roman" w:eastAsia="宋体"/>
                <w:lang w:val="en-US" w:eastAsia="zh-CN"/>
              </w:rPr>
            </w:pPr>
            <w:r>
              <w:rPr>
                <w:rFonts w:hint="eastAsia" w:ascii="Times New Roman" w:hAnsi="Times New Roman"/>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废水治理（万元）</w:t>
            </w:r>
          </w:p>
        </w:tc>
        <w:tc>
          <w:tcPr>
            <w:tcW w:w="560" w:type="dxa"/>
            <w:vAlign w:val="center"/>
          </w:tcPr>
          <w:p>
            <w:pPr>
              <w:pStyle w:val="118"/>
              <w:rPr>
                <w:rFonts w:ascii="Times New Roman" w:hAnsi="Times New Roman"/>
              </w:rPr>
            </w:pPr>
          </w:p>
        </w:tc>
        <w:tc>
          <w:tcPr>
            <w:tcW w:w="1697" w:type="dxa"/>
            <w:gridSpan w:val="3"/>
            <w:vAlign w:val="center"/>
          </w:tcPr>
          <w:p>
            <w:pPr>
              <w:pStyle w:val="118"/>
              <w:rPr>
                <w:rFonts w:ascii="Times New Roman" w:hAnsi="Times New Roman"/>
              </w:rPr>
            </w:pPr>
            <w:r>
              <w:rPr>
                <w:rFonts w:ascii="Times New Roman" w:hAnsi="Times New Roman"/>
                <w:b/>
              </w:rPr>
              <w:t>废气治理（万元）</w:t>
            </w:r>
          </w:p>
        </w:tc>
        <w:tc>
          <w:tcPr>
            <w:tcW w:w="720" w:type="dxa"/>
            <w:vAlign w:val="center"/>
          </w:tcPr>
          <w:p>
            <w:pPr>
              <w:pStyle w:val="118"/>
              <w:rPr>
                <w:rFonts w:ascii="Times New Roman" w:hAnsi="Times New Roman"/>
              </w:rPr>
            </w:pPr>
          </w:p>
        </w:tc>
        <w:tc>
          <w:tcPr>
            <w:tcW w:w="2398" w:type="dxa"/>
            <w:gridSpan w:val="3"/>
            <w:vAlign w:val="center"/>
          </w:tcPr>
          <w:p>
            <w:pPr>
              <w:pStyle w:val="118"/>
              <w:rPr>
                <w:rFonts w:ascii="Times New Roman" w:hAnsi="Times New Roman"/>
                <w:b/>
              </w:rPr>
            </w:pPr>
            <w:r>
              <w:rPr>
                <w:rFonts w:ascii="Times New Roman" w:hAnsi="Times New Roman"/>
                <w:b/>
              </w:rPr>
              <w:t>噪声治理（万元）</w:t>
            </w:r>
          </w:p>
        </w:tc>
        <w:tc>
          <w:tcPr>
            <w:tcW w:w="567" w:type="dxa"/>
            <w:gridSpan w:val="2"/>
            <w:vAlign w:val="center"/>
          </w:tcPr>
          <w:p>
            <w:pPr>
              <w:pStyle w:val="118"/>
              <w:rPr>
                <w:rFonts w:ascii="Times New Roman" w:hAnsi="Times New Roman"/>
              </w:rPr>
            </w:pPr>
          </w:p>
        </w:tc>
        <w:tc>
          <w:tcPr>
            <w:tcW w:w="1844" w:type="dxa"/>
            <w:gridSpan w:val="3"/>
            <w:vAlign w:val="center"/>
          </w:tcPr>
          <w:p>
            <w:pPr>
              <w:pStyle w:val="118"/>
              <w:rPr>
                <w:rFonts w:ascii="Times New Roman" w:hAnsi="Times New Roman"/>
                <w:b/>
              </w:rPr>
            </w:pPr>
            <w:r>
              <w:rPr>
                <w:rFonts w:ascii="Times New Roman" w:hAnsi="Times New Roman"/>
                <w:b/>
              </w:rPr>
              <w:t>固体废物治理（万元）</w:t>
            </w:r>
          </w:p>
        </w:tc>
        <w:tc>
          <w:tcPr>
            <w:tcW w:w="427" w:type="dxa"/>
            <w:vAlign w:val="center"/>
          </w:tcPr>
          <w:p>
            <w:pPr>
              <w:pStyle w:val="118"/>
              <w:rPr>
                <w:rFonts w:ascii="Times New Roman" w:hAnsi="Times New Roman"/>
              </w:rPr>
            </w:pPr>
          </w:p>
        </w:tc>
        <w:tc>
          <w:tcPr>
            <w:tcW w:w="2057" w:type="dxa"/>
            <w:gridSpan w:val="3"/>
            <w:vAlign w:val="center"/>
          </w:tcPr>
          <w:p>
            <w:pPr>
              <w:pStyle w:val="118"/>
              <w:rPr>
                <w:rFonts w:ascii="Times New Roman" w:hAnsi="Times New Roman"/>
                <w:b/>
              </w:rPr>
            </w:pPr>
            <w:r>
              <w:rPr>
                <w:rFonts w:ascii="Times New Roman" w:hAnsi="Times New Roman"/>
                <w:b/>
              </w:rPr>
              <w:t>绿化及生态（万元）</w:t>
            </w:r>
          </w:p>
        </w:tc>
        <w:tc>
          <w:tcPr>
            <w:tcW w:w="950" w:type="dxa"/>
            <w:gridSpan w:val="2"/>
            <w:vAlign w:val="center"/>
          </w:tcPr>
          <w:p>
            <w:pPr>
              <w:pStyle w:val="118"/>
              <w:rPr>
                <w:rFonts w:ascii="Times New Roman" w:hAnsi="Times New Roman"/>
              </w:rPr>
            </w:pPr>
            <w:r>
              <w:rPr>
                <w:rFonts w:hint="eastAsia" w:ascii="Times New Roman" w:hAnsi="Times New Roman"/>
              </w:rPr>
              <w:t>/</w:t>
            </w:r>
          </w:p>
        </w:tc>
        <w:tc>
          <w:tcPr>
            <w:tcW w:w="1133" w:type="dxa"/>
            <w:gridSpan w:val="3"/>
            <w:vAlign w:val="center"/>
          </w:tcPr>
          <w:p>
            <w:pPr>
              <w:pStyle w:val="118"/>
              <w:rPr>
                <w:rFonts w:ascii="Times New Roman" w:hAnsi="Times New Roman"/>
                <w:b/>
              </w:rPr>
            </w:pPr>
            <w:r>
              <w:rPr>
                <w:rFonts w:ascii="Times New Roman" w:hAnsi="Times New Roman"/>
                <w:b/>
              </w:rPr>
              <w:t>其他（万元）</w:t>
            </w:r>
          </w:p>
        </w:tc>
        <w:tc>
          <w:tcPr>
            <w:tcW w:w="689" w:type="dxa"/>
            <w:vAlign w:val="center"/>
          </w:tcPr>
          <w:p>
            <w:pPr>
              <w:pStyle w:val="118"/>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新增废水处理设施能力</w:t>
            </w:r>
          </w:p>
        </w:tc>
        <w:tc>
          <w:tcPr>
            <w:tcW w:w="2977" w:type="dxa"/>
            <w:gridSpan w:val="5"/>
            <w:vAlign w:val="center"/>
          </w:tcPr>
          <w:p>
            <w:pPr>
              <w:pStyle w:val="118"/>
              <w:rPr>
                <w:rFonts w:ascii="Times New Roman" w:hAnsi="Times New Roman"/>
              </w:rPr>
            </w:pPr>
            <w:r>
              <w:rPr>
                <w:rFonts w:hint="eastAsia" w:ascii="Times New Roman" w:hAnsi="Times New Roman"/>
              </w:rPr>
              <w:t>/</w:t>
            </w:r>
          </w:p>
        </w:tc>
        <w:tc>
          <w:tcPr>
            <w:tcW w:w="2398" w:type="dxa"/>
            <w:gridSpan w:val="3"/>
            <w:vAlign w:val="center"/>
          </w:tcPr>
          <w:p>
            <w:pPr>
              <w:pStyle w:val="118"/>
              <w:rPr>
                <w:rFonts w:ascii="Times New Roman" w:hAnsi="Times New Roman"/>
                <w:b/>
              </w:rPr>
            </w:pPr>
            <w:r>
              <w:rPr>
                <w:rFonts w:ascii="Times New Roman" w:hAnsi="Times New Roman"/>
                <w:b/>
              </w:rPr>
              <w:t>新增废气处理设施能力</w:t>
            </w:r>
          </w:p>
        </w:tc>
        <w:tc>
          <w:tcPr>
            <w:tcW w:w="2838" w:type="dxa"/>
            <w:gridSpan w:val="6"/>
            <w:vAlign w:val="center"/>
          </w:tcPr>
          <w:p>
            <w:pPr>
              <w:pStyle w:val="118"/>
              <w:rPr>
                <w:rFonts w:ascii="Times New Roman" w:hAnsi="Times New Roman"/>
              </w:rPr>
            </w:pPr>
            <w:r>
              <w:rPr>
                <w:rFonts w:hint="eastAsia" w:ascii="Times New Roman" w:hAnsi="Times New Roman"/>
              </w:rPr>
              <w:t>/</w:t>
            </w:r>
          </w:p>
        </w:tc>
        <w:tc>
          <w:tcPr>
            <w:tcW w:w="2057" w:type="dxa"/>
            <w:gridSpan w:val="3"/>
            <w:vAlign w:val="center"/>
          </w:tcPr>
          <w:p>
            <w:pPr>
              <w:pStyle w:val="118"/>
              <w:rPr>
                <w:rFonts w:ascii="Times New Roman" w:hAnsi="Times New Roman"/>
                <w:b/>
              </w:rPr>
            </w:pPr>
            <w:r>
              <w:rPr>
                <w:rFonts w:ascii="Times New Roman" w:hAnsi="Times New Roman"/>
                <w:b/>
              </w:rPr>
              <w:t>年平均工作时</w:t>
            </w:r>
            <w:r>
              <w:rPr>
                <w:rFonts w:hint="eastAsia" w:ascii="Times New Roman" w:hAnsi="Times New Roman"/>
                <w:b/>
              </w:rPr>
              <w:t>间</w:t>
            </w:r>
          </w:p>
        </w:tc>
        <w:tc>
          <w:tcPr>
            <w:tcW w:w="2772" w:type="dxa"/>
            <w:gridSpan w:val="6"/>
            <w:vAlign w:val="center"/>
          </w:tcPr>
          <w:p>
            <w:pPr>
              <w:pStyle w:val="118"/>
              <w:rPr>
                <w:rFonts w:ascii="Times New Roman" w:hAnsi="Times New Roman"/>
              </w:rPr>
            </w:pPr>
            <w:r>
              <w:rPr>
                <w:rFonts w:hint="eastAsia" w:ascii="Times New Roman" w:hAnsi="Times New Roman"/>
              </w:rPr>
              <w:t>8760h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952" w:type="dxa"/>
            <w:gridSpan w:val="3"/>
            <w:vAlign w:val="center"/>
          </w:tcPr>
          <w:p>
            <w:pPr>
              <w:pStyle w:val="118"/>
              <w:rPr>
                <w:rFonts w:ascii="Times New Roman" w:hAnsi="Times New Roman"/>
                <w:b/>
              </w:rPr>
            </w:pPr>
            <w:r>
              <w:rPr>
                <w:rFonts w:ascii="Times New Roman" w:hAnsi="Times New Roman"/>
                <w:b/>
              </w:rPr>
              <w:t>运营单位</w:t>
            </w:r>
          </w:p>
        </w:tc>
        <w:tc>
          <w:tcPr>
            <w:tcW w:w="2977" w:type="dxa"/>
            <w:gridSpan w:val="5"/>
            <w:vAlign w:val="center"/>
          </w:tcPr>
          <w:p>
            <w:pPr>
              <w:pStyle w:val="118"/>
              <w:rPr>
                <w:rFonts w:ascii="Times New Roman" w:hAnsi="Times New Roman"/>
              </w:rPr>
            </w:pPr>
            <w:r>
              <w:rPr>
                <w:rFonts w:hint="eastAsia" w:ascii="Times New Roman" w:hAnsi="Times New Roman"/>
              </w:rPr>
              <w:t>华润新能源（</w:t>
            </w:r>
            <w:r>
              <w:rPr>
                <w:rFonts w:hint="eastAsia" w:ascii="Times New Roman" w:hAnsi="Times New Roman"/>
                <w:lang w:eastAsia="zh-CN"/>
              </w:rPr>
              <w:t>邳州</w:t>
            </w:r>
            <w:r>
              <w:rPr>
                <w:rFonts w:hint="eastAsia" w:ascii="Times New Roman" w:hAnsi="Times New Roman"/>
              </w:rPr>
              <w:t>）有限公司</w:t>
            </w:r>
          </w:p>
        </w:tc>
        <w:tc>
          <w:tcPr>
            <w:tcW w:w="2398" w:type="dxa"/>
            <w:gridSpan w:val="3"/>
            <w:vAlign w:val="center"/>
          </w:tcPr>
          <w:p>
            <w:pPr>
              <w:pStyle w:val="118"/>
              <w:rPr>
                <w:rFonts w:ascii="Times New Roman" w:hAnsi="Times New Roman"/>
                <w:b/>
              </w:rPr>
            </w:pPr>
            <w:r>
              <w:rPr>
                <w:rFonts w:ascii="Times New Roman" w:hAnsi="Times New Roman"/>
                <w:b/>
              </w:rPr>
              <w:t>运营单位社会统一信用代码</w:t>
            </w:r>
          </w:p>
          <w:p>
            <w:pPr>
              <w:pStyle w:val="118"/>
              <w:rPr>
                <w:rFonts w:ascii="Times New Roman" w:hAnsi="Times New Roman"/>
                <w:b/>
              </w:rPr>
            </w:pPr>
            <w:r>
              <w:rPr>
                <w:rFonts w:ascii="Times New Roman" w:hAnsi="Times New Roman"/>
                <w:b/>
              </w:rPr>
              <w:t>（或组织机构代码）</w:t>
            </w:r>
          </w:p>
        </w:tc>
        <w:tc>
          <w:tcPr>
            <w:tcW w:w="2838" w:type="dxa"/>
            <w:gridSpan w:val="6"/>
            <w:vAlign w:val="center"/>
          </w:tcPr>
          <w:p>
            <w:pPr>
              <w:pStyle w:val="118"/>
              <w:rPr>
                <w:rFonts w:hint="default" w:ascii="Times New Roman" w:hAnsi="Times New Roman" w:eastAsia="宋体"/>
                <w:lang w:val="en-US" w:eastAsia="zh-CN"/>
              </w:rPr>
            </w:pPr>
            <w:r>
              <w:rPr>
                <w:rFonts w:hint="eastAsia" w:ascii="Times New Roman" w:hAnsi="Times New Roman" w:cs="Times New Roman"/>
                <w:lang w:val="en-US" w:eastAsia="zh-CN"/>
              </w:rPr>
              <w:t>91320300MA1UR75T1W</w:t>
            </w:r>
          </w:p>
        </w:tc>
        <w:tc>
          <w:tcPr>
            <w:tcW w:w="2057" w:type="dxa"/>
            <w:gridSpan w:val="3"/>
            <w:vAlign w:val="center"/>
          </w:tcPr>
          <w:p>
            <w:pPr>
              <w:pStyle w:val="118"/>
              <w:rPr>
                <w:rFonts w:ascii="Times New Roman" w:hAnsi="Times New Roman"/>
                <w:b/>
              </w:rPr>
            </w:pPr>
            <w:r>
              <w:rPr>
                <w:rFonts w:ascii="Times New Roman" w:hAnsi="Times New Roman"/>
                <w:b/>
              </w:rPr>
              <w:t>验收时间</w:t>
            </w:r>
          </w:p>
        </w:tc>
        <w:tc>
          <w:tcPr>
            <w:tcW w:w="2772" w:type="dxa"/>
            <w:gridSpan w:val="6"/>
            <w:vAlign w:val="center"/>
          </w:tcPr>
          <w:p>
            <w:pPr>
              <w:pStyle w:val="118"/>
              <w:rPr>
                <w:rFonts w:hint="default" w:ascii="Times New Roman" w:hAnsi="Times New Roman" w:eastAsia="宋体"/>
                <w:lang w:val="en-US" w:eastAsia="zh-CN"/>
              </w:rPr>
            </w:pPr>
            <w:r>
              <w:rPr>
                <w:rFonts w:hint="eastAsia" w:ascii="Times New Roman" w:hAnsi="Times New Roman"/>
                <w:highlight w:val="none"/>
                <w:lang w:val="en-US" w:eastAsia="zh-CN"/>
              </w:rPr>
              <w:t>2022.4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restart"/>
            <w:vAlign w:val="center"/>
          </w:tcPr>
          <w:p>
            <w:pPr>
              <w:pStyle w:val="118"/>
              <w:rPr>
                <w:rFonts w:ascii="Times New Roman" w:hAnsi="Times New Roman"/>
                <w:b/>
                <w:spacing w:val="20"/>
              </w:rPr>
            </w:pPr>
            <w:r>
              <w:rPr>
                <w:rFonts w:ascii="Times New Roman" w:hAnsi="Times New Roman"/>
                <w:b/>
                <w:spacing w:val="20"/>
              </w:rPr>
              <w:t>污染</w:t>
            </w:r>
          </w:p>
          <w:p>
            <w:pPr>
              <w:pStyle w:val="118"/>
              <w:rPr>
                <w:rFonts w:ascii="Times New Roman" w:hAnsi="Times New Roman"/>
                <w:b/>
                <w:spacing w:val="20"/>
              </w:rPr>
            </w:pPr>
            <w:r>
              <w:rPr>
                <w:rFonts w:ascii="Times New Roman" w:hAnsi="Times New Roman"/>
                <w:b/>
                <w:spacing w:val="20"/>
              </w:rPr>
              <w:t>物排</w:t>
            </w:r>
          </w:p>
          <w:p>
            <w:pPr>
              <w:pStyle w:val="118"/>
              <w:rPr>
                <w:rFonts w:ascii="Times New Roman" w:hAnsi="Times New Roman"/>
                <w:b/>
                <w:spacing w:val="20"/>
              </w:rPr>
            </w:pPr>
            <w:r>
              <w:rPr>
                <w:rFonts w:ascii="Times New Roman" w:hAnsi="Times New Roman"/>
                <w:b/>
                <w:spacing w:val="20"/>
              </w:rPr>
              <w:t>放达</w:t>
            </w:r>
          </w:p>
          <w:p>
            <w:pPr>
              <w:pStyle w:val="118"/>
              <w:rPr>
                <w:rFonts w:ascii="Times New Roman" w:hAnsi="Times New Roman"/>
                <w:b/>
                <w:spacing w:val="20"/>
              </w:rPr>
            </w:pPr>
            <w:r>
              <w:rPr>
                <w:rFonts w:ascii="Times New Roman" w:hAnsi="Times New Roman"/>
                <w:b/>
                <w:spacing w:val="20"/>
              </w:rPr>
              <w:t>标与</w:t>
            </w:r>
          </w:p>
          <w:p>
            <w:pPr>
              <w:pStyle w:val="118"/>
              <w:rPr>
                <w:rFonts w:ascii="Times New Roman" w:hAnsi="Times New Roman"/>
                <w:b/>
                <w:spacing w:val="20"/>
              </w:rPr>
            </w:pPr>
            <w:r>
              <w:rPr>
                <w:rFonts w:ascii="Times New Roman" w:hAnsi="Times New Roman"/>
                <w:b/>
                <w:spacing w:val="20"/>
              </w:rPr>
              <w:t>总量</w:t>
            </w:r>
          </w:p>
          <w:p>
            <w:pPr>
              <w:pStyle w:val="118"/>
              <w:rPr>
                <w:rFonts w:ascii="Times New Roman" w:hAnsi="Times New Roman"/>
                <w:b/>
                <w:spacing w:val="20"/>
              </w:rPr>
            </w:pPr>
            <w:r>
              <w:rPr>
                <w:rFonts w:ascii="Times New Roman" w:hAnsi="Times New Roman"/>
                <w:b/>
                <w:spacing w:val="20"/>
              </w:rPr>
              <w:t>控制（工</w:t>
            </w:r>
          </w:p>
          <w:p>
            <w:pPr>
              <w:pStyle w:val="118"/>
              <w:rPr>
                <w:rFonts w:ascii="Times New Roman" w:hAnsi="Times New Roman"/>
                <w:b/>
                <w:spacing w:val="20"/>
              </w:rPr>
            </w:pPr>
            <w:r>
              <w:rPr>
                <w:rFonts w:ascii="Times New Roman" w:hAnsi="Times New Roman"/>
                <w:b/>
                <w:spacing w:val="20"/>
              </w:rPr>
              <w:t>业建</w:t>
            </w:r>
          </w:p>
          <w:p>
            <w:pPr>
              <w:pStyle w:val="118"/>
              <w:rPr>
                <w:rFonts w:ascii="Times New Roman" w:hAnsi="Times New Roman"/>
                <w:b/>
                <w:spacing w:val="20"/>
              </w:rPr>
            </w:pPr>
            <w:r>
              <w:rPr>
                <w:rFonts w:ascii="Times New Roman" w:hAnsi="Times New Roman"/>
                <w:b/>
                <w:spacing w:val="20"/>
              </w:rPr>
              <w:t>设项</w:t>
            </w:r>
          </w:p>
          <w:p>
            <w:pPr>
              <w:pStyle w:val="118"/>
              <w:rPr>
                <w:rFonts w:ascii="Times New Roman" w:hAnsi="Times New Roman"/>
                <w:b/>
                <w:spacing w:val="20"/>
              </w:rPr>
            </w:pPr>
            <w:r>
              <w:rPr>
                <w:rFonts w:ascii="Times New Roman" w:hAnsi="Times New Roman"/>
                <w:b/>
                <w:spacing w:val="20"/>
              </w:rPr>
              <w:t>目详填）</w:t>
            </w:r>
          </w:p>
        </w:tc>
        <w:tc>
          <w:tcPr>
            <w:tcW w:w="2278" w:type="dxa"/>
            <w:gridSpan w:val="2"/>
            <w:vAlign w:val="center"/>
          </w:tcPr>
          <w:p>
            <w:pPr>
              <w:pStyle w:val="118"/>
              <w:rPr>
                <w:rFonts w:ascii="Times New Roman" w:hAnsi="Times New Roman"/>
                <w:b/>
              </w:rPr>
            </w:pPr>
            <w:r>
              <w:rPr>
                <w:rFonts w:ascii="Times New Roman" w:hAnsi="Times New Roman"/>
                <w:b/>
              </w:rPr>
              <w:t>污染物</w:t>
            </w:r>
          </w:p>
        </w:tc>
        <w:tc>
          <w:tcPr>
            <w:tcW w:w="1082" w:type="dxa"/>
            <w:gridSpan w:val="2"/>
            <w:vAlign w:val="center"/>
          </w:tcPr>
          <w:p>
            <w:pPr>
              <w:pStyle w:val="118"/>
              <w:rPr>
                <w:rFonts w:ascii="Times New Roman" w:hAnsi="Times New Roman"/>
                <w:b/>
              </w:rPr>
            </w:pPr>
            <w:r>
              <w:rPr>
                <w:rFonts w:ascii="Times New Roman" w:hAnsi="Times New Roman"/>
                <w:b/>
              </w:rPr>
              <w:t>原有排</w:t>
            </w:r>
          </w:p>
          <w:p>
            <w:pPr>
              <w:pStyle w:val="118"/>
              <w:rPr>
                <w:rFonts w:ascii="Times New Roman" w:hAnsi="Times New Roman"/>
                <w:b/>
              </w:rPr>
            </w:pPr>
            <w:r>
              <w:rPr>
                <w:rFonts w:ascii="Times New Roman" w:hAnsi="Times New Roman"/>
                <w:b/>
              </w:rPr>
              <w:t>放量</w:t>
            </w:r>
            <w:r>
              <w:rPr>
                <w:rFonts w:hint="eastAsia" w:ascii="Times New Roman" w:hAnsi="Times New Roman"/>
                <w:b/>
                <w:lang w:eastAsia="zh-CN"/>
              </w:rPr>
              <w:t>（</w:t>
            </w:r>
            <w:r>
              <w:rPr>
                <w:rFonts w:ascii="Times New Roman" w:hAnsi="Times New Roman"/>
                <w:b/>
              </w:rPr>
              <w:t>1)</w:t>
            </w:r>
          </w:p>
        </w:tc>
        <w:tc>
          <w:tcPr>
            <w:tcW w:w="1083" w:type="dxa"/>
            <w:vAlign w:val="center"/>
          </w:tcPr>
          <w:p>
            <w:pPr>
              <w:pStyle w:val="118"/>
              <w:rPr>
                <w:rFonts w:ascii="Times New Roman" w:hAnsi="Times New Roman"/>
                <w:b/>
              </w:rPr>
            </w:pPr>
            <w:r>
              <w:rPr>
                <w:rFonts w:ascii="Times New Roman" w:hAnsi="Times New Roman"/>
                <w:b/>
              </w:rPr>
              <w:t>本期工程实际排放浓度</w:t>
            </w:r>
            <w:r>
              <w:rPr>
                <w:rFonts w:hint="eastAsia" w:ascii="Times New Roman" w:hAnsi="Times New Roman"/>
                <w:b/>
                <w:lang w:eastAsia="zh-CN"/>
              </w:rPr>
              <w:t>（</w:t>
            </w:r>
            <w:r>
              <w:rPr>
                <w:rFonts w:ascii="Times New Roman" w:hAnsi="Times New Roman"/>
                <w:b/>
              </w:rPr>
              <w:t>2)</w:t>
            </w:r>
          </w:p>
        </w:tc>
        <w:tc>
          <w:tcPr>
            <w:tcW w:w="1083" w:type="dxa"/>
            <w:gridSpan w:val="3"/>
            <w:vAlign w:val="center"/>
          </w:tcPr>
          <w:p>
            <w:pPr>
              <w:pStyle w:val="118"/>
              <w:rPr>
                <w:rFonts w:ascii="Times New Roman" w:hAnsi="Times New Roman"/>
                <w:b/>
              </w:rPr>
            </w:pPr>
            <w:r>
              <w:rPr>
                <w:rFonts w:ascii="Times New Roman" w:hAnsi="Times New Roman"/>
                <w:b/>
              </w:rPr>
              <w:t>本期工程允许排放浓度</w:t>
            </w:r>
            <w:r>
              <w:rPr>
                <w:rFonts w:hint="eastAsia" w:ascii="Times New Roman" w:hAnsi="Times New Roman"/>
                <w:b/>
                <w:lang w:eastAsia="zh-CN"/>
              </w:rPr>
              <w:t>（</w:t>
            </w:r>
            <w:r>
              <w:rPr>
                <w:rFonts w:ascii="Times New Roman" w:hAnsi="Times New Roman"/>
                <w:b/>
              </w:rPr>
              <w:t>3)</w:t>
            </w:r>
          </w:p>
        </w:tc>
        <w:tc>
          <w:tcPr>
            <w:tcW w:w="1083" w:type="dxa"/>
            <w:vAlign w:val="center"/>
          </w:tcPr>
          <w:p>
            <w:pPr>
              <w:pStyle w:val="118"/>
              <w:rPr>
                <w:rFonts w:ascii="Times New Roman" w:hAnsi="Times New Roman"/>
                <w:b/>
              </w:rPr>
            </w:pPr>
            <w:r>
              <w:rPr>
                <w:rFonts w:ascii="Times New Roman" w:hAnsi="Times New Roman"/>
                <w:b/>
              </w:rPr>
              <w:t>本期工程产生量</w:t>
            </w:r>
            <w:r>
              <w:rPr>
                <w:rFonts w:hint="eastAsia" w:ascii="Times New Roman" w:hAnsi="Times New Roman"/>
                <w:b/>
                <w:lang w:eastAsia="zh-CN"/>
              </w:rPr>
              <w:t>（</w:t>
            </w:r>
            <w:r>
              <w:rPr>
                <w:rFonts w:ascii="Times New Roman" w:hAnsi="Times New Roman"/>
                <w:b/>
              </w:rPr>
              <w:t>4)</w:t>
            </w:r>
          </w:p>
        </w:tc>
        <w:tc>
          <w:tcPr>
            <w:tcW w:w="1082" w:type="dxa"/>
            <w:gridSpan w:val="2"/>
            <w:vAlign w:val="center"/>
          </w:tcPr>
          <w:p>
            <w:pPr>
              <w:pStyle w:val="118"/>
              <w:rPr>
                <w:rFonts w:ascii="Times New Roman" w:hAnsi="Times New Roman"/>
                <w:b/>
              </w:rPr>
            </w:pPr>
            <w:r>
              <w:rPr>
                <w:rFonts w:ascii="Times New Roman" w:hAnsi="Times New Roman"/>
                <w:b/>
              </w:rPr>
              <w:t>本期工程自身削减量</w:t>
            </w:r>
            <w:r>
              <w:rPr>
                <w:rFonts w:hint="eastAsia" w:ascii="Times New Roman" w:hAnsi="Times New Roman"/>
                <w:b/>
                <w:lang w:eastAsia="zh-CN"/>
              </w:rPr>
              <w:t>（</w:t>
            </w:r>
            <w:r>
              <w:rPr>
                <w:rFonts w:ascii="Times New Roman" w:hAnsi="Times New Roman"/>
                <w:b/>
              </w:rPr>
              <w:t>5)</w:t>
            </w:r>
          </w:p>
        </w:tc>
        <w:tc>
          <w:tcPr>
            <w:tcW w:w="1083" w:type="dxa"/>
            <w:gridSpan w:val="2"/>
            <w:vAlign w:val="center"/>
          </w:tcPr>
          <w:p>
            <w:pPr>
              <w:pStyle w:val="118"/>
              <w:rPr>
                <w:rFonts w:ascii="Times New Roman" w:hAnsi="Times New Roman"/>
                <w:b/>
              </w:rPr>
            </w:pPr>
            <w:r>
              <w:rPr>
                <w:rFonts w:ascii="Times New Roman" w:hAnsi="Times New Roman"/>
                <w:b/>
              </w:rPr>
              <w:t>本期工程实际排放量</w:t>
            </w:r>
            <w:r>
              <w:rPr>
                <w:rFonts w:hint="eastAsia" w:ascii="Times New Roman" w:hAnsi="Times New Roman"/>
                <w:b/>
                <w:lang w:eastAsia="zh-CN"/>
              </w:rPr>
              <w:t>（</w:t>
            </w:r>
            <w:r>
              <w:rPr>
                <w:rFonts w:ascii="Times New Roman" w:hAnsi="Times New Roman"/>
                <w:b/>
              </w:rPr>
              <w:t>6)</w:t>
            </w:r>
          </w:p>
        </w:tc>
        <w:tc>
          <w:tcPr>
            <w:tcW w:w="1083" w:type="dxa"/>
            <w:vAlign w:val="center"/>
          </w:tcPr>
          <w:p>
            <w:pPr>
              <w:pStyle w:val="118"/>
              <w:rPr>
                <w:rFonts w:ascii="Times New Roman" w:hAnsi="Times New Roman"/>
                <w:b/>
              </w:rPr>
            </w:pPr>
            <w:r>
              <w:rPr>
                <w:rFonts w:ascii="Times New Roman" w:hAnsi="Times New Roman"/>
                <w:b/>
              </w:rPr>
              <w:t>本期工程核定排放总量</w:t>
            </w:r>
            <w:r>
              <w:rPr>
                <w:rFonts w:hint="eastAsia" w:ascii="Times New Roman" w:hAnsi="Times New Roman"/>
                <w:b/>
                <w:lang w:eastAsia="zh-CN"/>
              </w:rPr>
              <w:t>（</w:t>
            </w:r>
            <w:r>
              <w:rPr>
                <w:rFonts w:ascii="Times New Roman" w:hAnsi="Times New Roman"/>
                <w:b/>
              </w:rPr>
              <w:t>7)</w:t>
            </w:r>
          </w:p>
        </w:tc>
        <w:tc>
          <w:tcPr>
            <w:tcW w:w="1083" w:type="dxa"/>
            <w:gridSpan w:val="3"/>
            <w:vAlign w:val="center"/>
          </w:tcPr>
          <w:p>
            <w:pPr>
              <w:pStyle w:val="118"/>
              <w:rPr>
                <w:rFonts w:ascii="Times New Roman" w:hAnsi="Times New Roman"/>
                <w:b/>
              </w:rPr>
            </w:pPr>
            <w:r>
              <w:rPr>
                <w:rFonts w:ascii="Times New Roman" w:hAnsi="Times New Roman"/>
                <w:b/>
              </w:rPr>
              <w:t>本期工程“以新带老”削减量</w:t>
            </w:r>
            <w:r>
              <w:rPr>
                <w:rFonts w:hint="eastAsia" w:ascii="Times New Roman" w:hAnsi="Times New Roman"/>
                <w:b/>
                <w:lang w:eastAsia="zh-CN"/>
              </w:rPr>
              <w:t>（</w:t>
            </w:r>
            <w:r>
              <w:rPr>
                <w:rFonts w:ascii="Times New Roman" w:hAnsi="Times New Roman"/>
                <w:b/>
              </w:rPr>
              <w:t>8)</w:t>
            </w:r>
          </w:p>
        </w:tc>
        <w:tc>
          <w:tcPr>
            <w:tcW w:w="1083" w:type="dxa"/>
            <w:vAlign w:val="center"/>
          </w:tcPr>
          <w:p>
            <w:pPr>
              <w:pStyle w:val="118"/>
              <w:rPr>
                <w:rFonts w:ascii="Times New Roman" w:hAnsi="Times New Roman"/>
                <w:b/>
              </w:rPr>
            </w:pPr>
            <w:r>
              <w:rPr>
                <w:rFonts w:ascii="Times New Roman" w:hAnsi="Times New Roman"/>
                <w:b/>
              </w:rPr>
              <w:t>全厂实际排放总量</w:t>
            </w:r>
            <w:r>
              <w:rPr>
                <w:rFonts w:hint="eastAsia" w:ascii="Times New Roman" w:hAnsi="Times New Roman"/>
                <w:b/>
                <w:lang w:eastAsia="zh-CN"/>
              </w:rPr>
              <w:t>（</w:t>
            </w:r>
            <w:r>
              <w:rPr>
                <w:rFonts w:ascii="Times New Roman" w:hAnsi="Times New Roman"/>
                <w:b/>
              </w:rPr>
              <w:t>9)</w:t>
            </w:r>
          </w:p>
        </w:tc>
        <w:tc>
          <w:tcPr>
            <w:tcW w:w="1083" w:type="dxa"/>
            <w:gridSpan w:val="2"/>
            <w:vAlign w:val="center"/>
          </w:tcPr>
          <w:p>
            <w:pPr>
              <w:pStyle w:val="118"/>
              <w:rPr>
                <w:rFonts w:ascii="Times New Roman" w:hAnsi="Times New Roman"/>
                <w:b/>
              </w:rPr>
            </w:pPr>
            <w:r>
              <w:rPr>
                <w:rFonts w:ascii="Times New Roman" w:hAnsi="Times New Roman"/>
                <w:b/>
              </w:rPr>
              <w:t>全厂核定排放总量</w:t>
            </w:r>
            <w:r>
              <w:rPr>
                <w:rFonts w:hint="eastAsia" w:ascii="Times New Roman" w:hAnsi="Times New Roman"/>
                <w:b/>
                <w:lang w:eastAsia="zh-CN"/>
              </w:rPr>
              <w:t>（</w:t>
            </w:r>
            <w:r>
              <w:rPr>
                <w:rFonts w:ascii="Times New Roman" w:hAnsi="Times New Roman"/>
                <w:b/>
              </w:rPr>
              <w:t>10)</w:t>
            </w:r>
          </w:p>
        </w:tc>
        <w:tc>
          <w:tcPr>
            <w:tcW w:w="1082" w:type="dxa"/>
            <w:gridSpan w:val="3"/>
            <w:vAlign w:val="center"/>
          </w:tcPr>
          <w:p>
            <w:pPr>
              <w:pStyle w:val="118"/>
              <w:rPr>
                <w:rFonts w:ascii="Times New Roman" w:hAnsi="Times New Roman"/>
                <w:b/>
              </w:rPr>
            </w:pPr>
            <w:r>
              <w:rPr>
                <w:rFonts w:ascii="Times New Roman" w:hAnsi="Times New Roman"/>
                <w:b/>
              </w:rPr>
              <w:t>区域平衡替代削减量</w:t>
            </w:r>
            <w:r>
              <w:rPr>
                <w:rFonts w:hint="eastAsia" w:ascii="Times New Roman" w:hAnsi="Times New Roman"/>
                <w:b/>
                <w:lang w:eastAsia="zh-CN"/>
              </w:rPr>
              <w:t>（</w:t>
            </w:r>
            <w:r>
              <w:rPr>
                <w:rFonts w:ascii="Times New Roman" w:hAnsi="Times New Roman"/>
                <w:b/>
              </w:rPr>
              <w:t>11)</w:t>
            </w:r>
          </w:p>
        </w:tc>
        <w:tc>
          <w:tcPr>
            <w:tcW w:w="1132" w:type="dxa"/>
            <w:gridSpan w:val="2"/>
            <w:vAlign w:val="center"/>
          </w:tcPr>
          <w:p>
            <w:pPr>
              <w:pStyle w:val="118"/>
              <w:rPr>
                <w:rFonts w:ascii="Times New Roman" w:hAnsi="Times New Roman"/>
                <w:b/>
              </w:rPr>
            </w:pPr>
            <w:r>
              <w:rPr>
                <w:rFonts w:ascii="Times New Roman" w:hAnsi="Times New Roman"/>
                <w:b/>
              </w:rPr>
              <w:t>排放增减量</w:t>
            </w:r>
            <w:r>
              <w:rPr>
                <w:rFonts w:hint="eastAsia" w:ascii="Times New Roman" w:hAnsi="Times New Roman"/>
                <w:b/>
                <w:lang w:eastAsia="zh-CN"/>
              </w:rPr>
              <w:t>（</w:t>
            </w:r>
            <w:r>
              <w:rPr>
                <w:rFonts w:ascii="Times New Roman" w:hAnsi="Times New Roman"/>
                <w:b/>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废水</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化学需氧量</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氨氮</w:t>
            </w:r>
          </w:p>
        </w:tc>
        <w:tc>
          <w:tcPr>
            <w:tcW w:w="1082"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r>
              <w:rPr>
                <w:rFonts w:hint="eastAsia" w:ascii="Times New Roman" w:hAnsi="Times New Roman"/>
              </w:rPr>
              <w:t>0</w:t>
            </w:r>
          </w:p>
        </w:tc>
        <w:tc>
          <w:tcPr>
            <w:tcW w:w="1083" w:type="dxa"/>
            <w:gridSpan w:val="2"/>
            <w:vAlign w:val="center"/>
          </w:tcPr>
          <w:p>
            <w:pPr>
              <w:pStyle w:val="118"/>
              <w:rPr>
                <w:rFonts w:ascii="Times New Roman" w:hAnsi="Times New Roman"/>
              </w:rPr>
            </w:pPr>
            <w:r>
              <w:rPr>
                <w:rFonts w:hint="eastAsia" w:ascii="Times New Roman" w:hAnsi="Times New Roman"/>
              </w:rPr>
              <w:t>0</w:t>
            </w: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石油类</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color w:val="FF0000"/>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废气</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二氧化硫</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烟尘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工业粉尘</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sz w:val="20"/>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氮氧化物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b/>
              </w:rPr>
            </w:pPr>
          </w:p>
        </w:tc>
        <w:tc>
          <w:tcPr>
            <w:tcW w:w="2278" w:type="dxa"/>
            <w:gridSpan w:val="2"/>
            <w:vAlign w:val="center"/>
          </w:tcPr>
          <w:p>
            <w:pPr>
              <w:pStyle w:val="118"/>
              <w:rPr>
                <w:rFonts w:ascii="Times New Roman" w:hAnsi="Times New Roman"/>
                <w:b/>
              </w:rPr>
            </w:pPr>
            <w:r>
              <w:rPr>
                <w:rFonts w:ascii="Times New Roman" w:hAnsi="Times New Roman"/>
                <w:b/>
              </w:rPr>
              <w:t>工业固体废物</w:t>
            </w: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restart"/>
            <w:vAlign w:val="center"/>
          </w:tcPr>
          <w:p>
            <w:pPr>
              <w:pStyle w:val="118"/>
              <w:rPr>
                <w:rFonts w:ascii="Times New Roman" w:hAnsi="Times New Roman"/>
                <w:b/>
              </w:rPr>
            </w:pPr>
            <w:r>
              <w:rPr>
                <w:rFonts w:ascii="Times New Roman" w:hAnsi="Times New Roman"/>
                <w:b/>
              </w:rPr>
              <w:t>与项目有关的其他特征污染物</w:t>
            </w: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color w:val="FF0000"/>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color w:val="FF0000"/>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74" w:type="dxa"/>
            <w:vMerge w:val="continue"/>
            <w:vAlign w:val="center"/>
          </w:tcPr>
          <w:p>
            <w:pPr>
              <w:pStyle w:val="118"/>
              <w:rPr>
                <w:rFonts w:ascii="Times New Roman" w:hAnsi="Times New Roman"/>
              </w:rPr>
            </w:pPr>
          </w:p>
        </w:tc>
        <w:tc>
          <w:tcPr>
            <w:tcW w:w="1273" w:type="dxa"/>
            <w:vMerge w:val="continue"/>
            <w:vAlign w:val="center"/>
          </w:tcPr>
          <w:p>
            <w:pPr>
              <w:pStyle w:val="118"/>
              <w:rPr>
                <w:rFonts w:ascii="Times New Roman" w:hAnsi="Times New Roman"/>
              </w:rPr>
            </w:pPr>
          </w:p>
        </w:tc>
        <w:tc>
          <w:tcPr>
            <w:tcW w:w="1005"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2" w:type="dxa"/>
            <w:gridSpan w:val="2"/>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3"/>
            <w:vAlign w:val="center"/>
          </w:tcPr>
          <w:p>
            <w:pPr>
              <w:pStyle w:val="118"/>
              <w:rPr>
                <w:rFonts w:ascii="Times New Roman" w:hAnsi="Times New Roman"/>
              </w:rPr>
            </w:pPr>
          </w:p>
        </w:tc>
        <w:tc>
          <w:tcPr>
            <w:tcW w:w="1083" w:type="dxa"/>
            <w:vAlign w:val="center"/>
          </w:tcPr>
          <w:p>
            <w:pPr>
              <w:pStyle w:val="118"/>
              <w:rPr>
                <w:rFonts w:ascii="Times New Roman" w:hAnsi="Times New Roman"/>
              </w:rPr>
            </w:pPr>
          </w:p>
        </w:tc>
        <w:tc>
          <w:tcPr>
            <w:tcW w:w="1083" w:type="dxa"/>
            <w:gridSpan w:val="2"/>
            <w:vAlign w:val="center"/>
          </w:tcPr>
          <w:p>
            <w:pPr>
              <w:pStyle w:val="118"/>
              <w:rPr>
                <w:rFonts w:ascii="Times New Roman" w:hAnsi="Times New Roman"/>
              </w:rPr>
            </w:pPr>
          </w:p>
        </w:tc>
        <w:tc>
          <w:tcPr>
            <w:tcW w:w="1082" w:type="dxa"/>
            <w:gridSpan w:val="3"/>
            <w:vAlign w:val="center"/>
          </w:tcPr>
          <w:p>
            <w:pPr>
              <w:pStyle w:val="118"/>
              <w:rPr>
                <w:rFonts w:ascii="Times New Roman" w:hAnsi="Times New Roman"/>
              </w:rPr>
            </w:pPr>
          </w:p>
        </w:tc>
        <w:tc>
          <w:tcPr>
            <w:tcW w:w="1132" w:type="dxa"/>
            <w:gridSpan w:val="2"/>
            <w:vAlign w:val="center"/>
          </w:tcPr>
          <w:p>
            <w:pPr>
              <w:pStyle w:val="118"/>
              <w:rPr>
                <w:rFonts w:ascii="Times New Roman" w:hAnsi="Times New Roman"/>
              </w:rPr>
            </w:pPr>
          </w:p>
        </w:tc>
      </w:tr>
    </w:tbl>
    <w:p>
      <w:pPr>
        <w:sectPr>
          <w:footerReference r:id="rId6" w:type="default"/>
          <w:pgSz w:w="16838" w:h="11906" w:orient="landscape"/>
          <w:pgMar w:top="1134" w:right="567" w:bottom="567" w:left="567" w:header="680" w:footer="680" w:gutter="0"/>
          <w:pgBorders>
            <w:top w:val="none" w:sz="0" w:space="0"/>
            <w:left w:val="none" w:sz="0" w:space="0"/>
            <w:bottom w:val="none" w:sz="0" w:space="0"/>
            <w:right w:val="none" w:sz="0" w:space="0"/>
          </w:pgBorders>
          <w:cols w:space="720" w:num="1"/>
          <w:docGrid w:linePitch="286" w:charSpace="0"/>
        </w:sect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rPr>
        <w:t>升。</w:t>
      </w:r>
    </w:p>
    <w:p>
      <w:pPr>
        <w:pStyle w:val="3"/>
        <w:tabs>
          <w:tab w:val="left" w:pos="7275"/>
        </w:tabs>
        <w:spacing w:beforeLines="50" w:afterLines="50" w:line="240" w:lineRule="auto"/>
        <w:ind w:left="-210" w:leftChars="-100"/>
      </w:pPr>
      <w:bookmarkStart w:id="24" w:name="_Toc26730"/>
      <w:r>
        <w:rPr>
          <w:sz w:val="28"/>
          <w:szCs w:val="28"/>
        </w:rPr>
        <w:t>附件5、</w:t>
      </w:r>
      <w:r>
        <w:rPr>
          <w:rFonts w:hint="eastAsia"/>
          <w:sz w:val="28"/>
          <w:szCs w:val="28"/>
        </w:rPr>
        <w:t>建设项目环保审批意见</w:t>
      </w:r>
      <w:bookmarkEnd w:id="24"/>
    </w:p>
    <w:p>
      <w:pPr>
        <w:jc w:val="center"/>
      </w:pPr>
    </w:p>
    <w:p>
      <w:pPr>
        <w:keepNext/>
        <w:keepLines/>
        <w:spacing w:line="416" w:lineRule="auto"/>
        <w:jc w:val="center"/>
      </w:pPr>
      <w:r>
        <w:drawing>
          <wp:inline distT="0" distB="0" distL="114300" distR="114300">
            <wp:extent cx="6115050" cy="7924800"/>
            <wp:effectExtent l="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1"/>
                    <a:stretch>
                      <a:fillRect/>
                    </a:stretch>
                  </pic:blipFill>
                  <pic:spPr>
                    <a:xfrm>
                      <a:off x="0" y="0"/>
                      <a:ext cx="6115050" cy="7924800"/>
                    </a:xfrm>
                    <a:prstGeom prst="rect">
                      <a:avLst/>
                    </a:prstGeom>
                    <a:noFill/>
                    <a:ln>
                      <a:noFill/>
                    </a:ln>
                  </pic:spPr>
                </pic:pic>
              </a:graphicData>
            </a:graphic>
          </wp:inline>
        </w:drawing>
      </w:r>
    </w:p>
    <w:p/>
    <w:p>
      <w:pPr>
        <w:pStyle w:val="32"/>
      </w:pPr>
      <w:r>
        <w:drawing>
          <wp:inline distT="0" distB="0" distL="114300" distR="114300">
            <wp:extent cx="6116955" cy="7655560"/>
            <wp:effectExtent l="0" t="0" r="17145" b="254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2"/>
                    <a:stretch>
                      <a:fillRect/>
                    </a:stretch>
                  </pic:blipFill>
                  <pic:spPr>
                    <a:xfrm>
                      <a:off x="0" y="0"/>
                      <a:ext cx="6116955" cy="7655560"/>
                    </a:xfrm>
                    <a:prstGeom prst="rect">
                      <a:avLst/>
                    </a:prstGeom>
                    <a:noFill/>
                    <a:ln>
                      <a:noFill/>
                    </a:ln>
                  </pic:spPr>
                </pic:pic>
              </a:graphicData>
            </a:graphic>
          </wp:inline>
        </w:drawing>
      </w:r>
    </w:p>
    <w:p>
      <w:pPr>
        <w:pStyle w:val="32"/>
      </w:pPr>
      <w:r>
        <w:drawing>
          <wp:inline distT="0" distB="0" distL="114300" distR="114300">
            <wp:extent cx="6116955" cy="7702550"/>
            <wp:effectExtent l="0" t="0" r="17145" b="1270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3"/>
                    <a:stretch>
                      <a:fillRect/>
                    </a:stretch>
                  </pic:blipFill>
                  <pic:spPr>
                    <a:xfrm>
                      <a:off x="0" y="0"/>
                      <a:ext cx="6116955" cy="7702550"/>
                    </a:xfrm>
                    <a:prstGeom prst="rect">
                      <a:avLst/>
                    </a:prstGeom>
                    <a:noFill/>
                    <a:ln>
                      <a:noFill/>
                    </a:ln>
                  </pic:spPr>
                </pic:pic>
              </a:graphicData>
            </a:graphic>
          </wp:inline>
        </w:drawing>
      </w:r>
    </w:p>
    <w:p>
      <w:pPr>
        <w:pStyle w:val="32"/>
      </w:pPr>
    </w:p>
    <w:p>
      <w:pPr>
        <w:pStyle w:val="32"/>
        <w:sectPr>
          <w:footerReference r:id="rId7" w:type="default"/>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pPr>
    </w:p>
    <w:p/>
    <w:p>
      <w:pPr>
        <w:pStyle w:val="3"/>
        <w:tabs>
          <w:tab w:val="left" w:pos="7275"/>
        </w:tabs>
        <w:spacing w:beforeLines="50" w:afterLines="50" w:line="240" w:lineRule="auto"/>
        <w:ind w:left="-210" w:leftChars="-100"/>
        <w:rPr>
          <w:sz w:val="28"/>
          <w:szCs w:val="28"/>
        </w:rPr>
      </w:pPr>
      <w:bookmarkStart w:id="25" w:name="_Toc15810"/>
      <w:r>
        <w:rPr>
          <w:rFonts w:hint="eastAsia"/>
          <w:sz w:val="28"/>
          <w:szCs w:val="28"/>
        </w:rPr>
        <w:t>附件6、验收监测报告</w:t>
      </w:r>
      <w:bookmarkEnd w:id="25"/>
    </w:p>
    <w:p>
      <w:pPr>
        <w:jc w:val="both"/>
      </w:pPr>
      <w:r>
        <w:drawing>
          <wp:inline distT="0" distB="0" distL="114300" distR="114300">
            <wp:extent cx="6113780" cy="8386445"/>
            <wp:effectExtent l="0" t="0" r="1270" b="1460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6113780" cy="8386445"/>
                    </a:xfrm>
                    <a:prstGeom prst="rect">
                      <a:avLst/>
                    </a:prstGeom>
                    <a:noFill/>
                    <a:ln>
                      <a:noFill/>
                    </a:ln>
                  </pic:spPr>
                </pic:pic>
              </a:graphicData>
            </a:graphic>
          </wp:inline>
        </w:drawing>
      </w:r>
    </w:p>
    <w:p>
      <w:pPr>
        <w:pStyle w:val="2"/>
        <w:jc w:val="center"/>
      </w:pPr>
      <w:r>
        <w:drawing>
          <wp:inline distT="0" distB="0" distL="114300" distR="114300">
            <wp:extent cx="6120130" cy="8185150"/>
            <wp:effectExtent l="0" t="0" r="13970"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5"/>
                    <a:stretch>
                      <a:fillRect/>
                    </a:stretch>
                  </pic:blipFill>
                  <pic:spPr>
                    <a:xfrm>
                      <a:off x="0" y="0"/>
                      <a:ext cx="6120130" cy="8185150"/>
                    </a:xfrm>
                    <a:prstGeom prst="rect">
                      <a:avLst/>
                    </a:prstGeom>
                    <a:noFill/>
                    <a:ln>
                      <a:noFill/>
                    </a:ln>
                  </pic:spPr>
                </pic:pic>
              </a:graphicData>
            </a:graphic>
          </wp:inline>
        </w:drawing>
      </w:r>
    </w:p>
    <w:p>
      <w:pPr>
        <w:jc w:val="center"/>
      </w:pPr>
      <w:r>
        <w:drawing>
          <wp:inline distT="0" distB="0" distL="114300" distR="114300">
            <wp:extent cx="5867400" cy="8391525"/>
            <wp:effectExtent l="0" t="0" r="0" b="952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6"/>
                    <a:stretch>
                      <a:fillRect/>
                    </a:stretch>
                  </pic:blipFill>
                  <pic:spPr>
                    <a:xfrm>
                      <a:off x="0" y="0"/>
                      <a:ext cx="5867400" cy="8391525"/>
                    </a:xfrm>
                    <a:prstGeom prst="rect">
                      <a:avLst/>
                    </a:prstGeom>
                    <a:noFill/>
                    <a:ln>
                      <a:noFill/>
                    </a:ln>
                  </pic:spPr>
                </pic:pic>
              </a:graphicData>
            </a:graphic>
          </wp:inline>
        </w:drawing>
      </w:r>
    </w:p>
    <w:p>
      <w:pPr>
        <w:pStyle w:val="2"/>
        <w:jc w:val="center"/>
      </w:pPr>
      <w:r>
        <w:drawing>
          <wp:inline distT="0" distB="0" distL="114300" distR="114300">
            <wp:extent cx="6116955" cy="8354060"/>
            <wp:effectExtent l="0" t="0" r="17145" b="889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7"/>
                    <a:stretch>
                      <a:fillRect/>
                    </a:stretch>
                  </pic:blipFill>
                  <pic:spPr>
                    <a:xfrm>
                      <a:off x="0" y="0"/>
                      <a:ext cx="6116955" cy="8354060"/>
                    </a:xfrm>
                    <a:prstGeom prst="rect">
                      <a:avLst/>
                    </a:prstGeom>
                    <a:noFill/>
                    <a:ln>
                      <a:noFill/>
                    </a:ln>
                  </pic:spPr>
                </pic:pic>
              </a:graphicData>
            </a:graphic>
          </wp:inline>
        </w:drawing>
      </w:r>
    </w:p>
    <w:p>
      <w:pPr>
        <w:jc w:val="center"/>
      </w:pPr>
      <w:r>
        <w:drawing>
          <wp:inline distT="0" distB="0" distL="114300" distR="114300">
            <wp:extent cx="6116955" cy="8504555"/>
            <wp:effectExtent l="0" t="0" r="17145" b="1079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8"/>
                    <a:stretch>
                      <a:fillRect/>
                    </a:stretch>
                  </pic:blipFill>
                  <pic:spPr>
                    <a:xfrm>
                      <a:off x="0" y="0"/>
                      <a:ext cx="6116955" cy="8504555"/>
                    </a:xfrm>
                    <a:prstGeom prst="rect">
                      <a:avLst/>
                    </a:prstGeom>
                    <a:noFill/>
                    <a:ln>
                      <a:noFill/>
                    </a:ln>
                  </pic:spPr>
                </pic:pic>
              </a:graphicData>
            </a:graphic>
          </wp:inline>
        </w:drawing>
      </w:r>
    </w:p>
    <w:p>
      <w:pPr>
        <w:pStyle w:val="2"/>
        <w:jc w:val="center"/>
      </w:pPr>
      <w:r>
        <w:drawing>
          <wp:inline distT="0" distB="0" distL="114300" distR="114300">
            <wp:extent cx="6116955" cy="8079740"/>
            <wp:effectExtent l="0" t="0" r="17145" b="1651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9"/>
                    <a:stretch>
                      <a:fillRect/>
                    </a:stretch>
                  </pic:blipFill>
                  <pic:spPr>
                    <a:xfrm>
                      <a:off x="0" y="0"/>
                      <a:ext cx="6116955" cy="8079740"/>
                    </a:xfrm>
                    <a:prstGeom prst="rect">
                      <a:avLst/>
                    </a:prstGeom>
                    <a:noFill/>
                    <a:ln>
                      <a:noFill/>
                    </a:ln>
                  </pic:spPr>
                </pic:pic>
              </a:graphicData>
            </a:graphic>
          </wp:inline>
        </w:drawing>
      </w:r>
    </w:p>
    <w:p>
      <w:pPr>
        <w:jc w:val="center"/>
      </w:pPr>
      <w:r>
        <w:drawing>
          <wp:inline distT="0" distB="0" distL="114300" distR="114300">
            <wp:extent cx="6116955" cy="8350250"/>
            <wp:effectExtent l="0" t="0" r="17145" b="1270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0"/>
                    <a:stretch>
                      <a:fillRect/>
                    </a:stretch>
                  </pic:blipFill>
                  <pic:spPr>
                    <a:xfrm>
                      <a:off x="0" y="0"/>
                      <a:ext cx="6116955" cy="8350250"/>
                    </a:xfrm>
                    <a:prstGeom prst="rect">
                      <a:avLst/>
                    </a:prstGeom>
                    <a:noFill/>
                    <a:ln>
                      <a:noFill/>
                    </a:ln>
                  </pic:spPr>
                </pic:pic>
              </a:graphicData>
            </a:graphic>
          </wp:inline>
        </w:drawing>
      </w:r>
    </w:p>
    <w:p>
      <w:pPr>
        <w:pStyle w:val="2"/>
        <w:jc w:val="center"/>
      </w:pPr>
      <w:r>
        <w:drawing>
          <wp:inline distT="0" distB="0" distL="114300" distR="114300">
            <wp:extent cx="6113780" cy="8361045"/>
            <wp:effectExtent l="0" t="0" r="1270" b="190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41"/>
                    <a:stretch>
                      <a:fillRect/>
                    </a:stretch>
                  </pic:blipFill>
                  <pic:spPr>
                    <a:xfrm>
                      <a:off x="0" y="0"/>
                      <a:ext cx="6113780" cy="8361045"/>
                    </a:xfrm>
                    <a:prstGeom prst="rect">
                      <a:avLst/>
                    </a:prstGeom>
                    <a:noFill/>
                    <a:ln>
                      <a:noFill/>
                    </a:ln>
                  </pic:spPr>
                </pic:pic>
              </a:graphicData>
            </a:graphic>
          </wp:inline>
        </w:drawing>
      </w:r>
    </w:p>
    <w:p>
      <w:pPr>
        <w:jc w:val="center"/>
      </w:pPr>
      <w:r>
        <w:drawing>
          <wp:inline distT="0" distB="0" distL="114300" distR="114300">
            <wp:extent cx="6116955" cy="8335010"/>
            <wp:effectExtent l="0" t="0" r="17145" b="88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42"/>
                    <a:stretch>
                      <a:fillRect/>
                    </a:stretch>
                  </pic:blipFill>
                  <pic:spPr>
                    <a:xfrm>
                      <a:off x="0" y="0"/>
                      <a:ext cx="6116955" cy="8335010"/>
                    </a:xfrm>
                    <a:prstGeom prst="rect">
                      <a:avLst/>
                    </a:prstGeom>
                    <a:noFill/>
                    <a:ln>
                      <a:noFill/>
                    </a:ln>
                  </pic:spPr>
                </pic:pic>
              </a:graphicData>
            </a:graphic>
          </wp:inline>
        </w:drawing>
      </w:r>
    </w:p>
    <w:p>
      <w:pPr>
        <w:pStyle w:val="2"/>
        <w:jc w:val="center"/>
      </w:pPr>
      <w:r>
        <w:drawing>
          <wp:inline distT="0" distB="0" distL="114300" distR="114300">
            <wp:extent cx="6115685" cy="8537575"/>
            <wp:effectExtent l="0" t="0" r="18415" b="1587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43"/>
                    <a:stretch>
                      <a:fillRect/>
                    </a:stretch>
                  </pic:blipFill>
                  <pic:spPr>
                    <a:xfrm>
                      <a:off x="0" y="0"/>
                      <a:ext cx="6115685" cy="8537575"/>
                    </a:xfrm>
                    <a:prstGeom prst="rect">
                      <a:avLst/>
                    </a:prstGeom>
                    <a:noFill/>
                    <a:ln>
                      <a:noFill/>
                    </a:ln>
                  </pic:spPr>
                </pic:pic>
              </a:graphicData>
            </a:graphic>
          </wp:inline>
        </w:drawing>
      </w:r>
    </w:p>
    <w:p>
      <w:pPr>
        <w:jc w:val="center"/>
      </w:pPr>
      <w:r>
        <w:drawing>
          <wp:inline distT="0" distB="0" distL="114300" distR="114300">
            <wp:extent cx="6119495" cy="8285480"/>
            <wp:effectExtent l="0" t="0" r="14605" b="127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44"/>
                    <a:stretch>
                      <a:fillRect/>
                    </a:stretch>
                  </pic:blipFill>
                  <pic:spPr>
                    <a:xfrm>
                      <a:off x="0" y="0"/>
                      <a:ext cx="6119495" cy="8285480"/>
                    </a:xfrm>
                    <a:prstGeom prst="rect">
                      <a:avLst/>
                    </a:prstGeom>
                    <a:noFill/>
                    <a:ln>
                      <a:noFill/>
                    </a:ln>
                  </pic:spPr>
                </pic:pic>
              </a:graphicData>
            </a:graphic>
          </wp:inline>
        </w:drawing>
      </w:r>
    </w:p>
    <w:p>
      <w:pPr>
        <w:pStyle w:val="2"/>
        <w:jc w:val="center"/>
      </w:pPr>
      <w:r>
        <w:drawing>
          <wp:inline distT="0" distB="0" distL="114300" distR="114300">
            <wp:extent cx="6105525" cy="8543925"/>
            <wp:effectExtent l="0" t="0" r="9525" b="952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5"/>
                    <a:stretch>
                      <a:fillRect/>
                    </a:stretch>
                  </pic:blipFill>
                  <pic:spPr>
                    <a:xfrm>
                      <a:off x="0" y="0"/>
                      <a:ext cx="6105525" cy="8543925"/>
                    </a:xfrm>
                    <a:prstGeom prst="rect">
                      <a:avLst/>
                    </a:prstGeom>
                    <a:noFill/>
                    <a:ln>
                      <a:noFill/>
                    </a:ln>
                  </pic:spPr>
                </pic:pic>
              </a:graphicData>
            </a:graphic>
          </wp:inline>
        </w:drawing>
      </w:r>
    </w:p>
    <w:p>
      <w:pPr>
        <w:jc w:val="center"/>
      </w:pPr>
      <w:r>
        <w:drawing>
          <wp:inline distT="0" distB="0" distL="114300" distR="114300">
            <wp:extent cx="6115050" cy="8362950"/>
            <wp:effectExtent l="0" t="0" r="0" b="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46"/>
                    <a:stretch>
                      <a:fillRect/>
                    </a:stretch>
                  </pic:blipFill>
                  <pic:spPr>
                    <a:xfrm>
                      <a:off x="0" y="0"/>
                      <a:ext cx="6115050" cy="8362950"/>
                    </a:xfrm>
                    <a:prstGeom prst="rect">
                      <a:avLst/>
                    </a:prstGeom>
                    <a:noFill/>
                    <a:ln>
                      <a:noFill/>
                    </a:ln>
                  </pic:spPr>
                </pic:pic>
              </a:graphicData>
            </a:graphic>
          </wp:inline>
        </w:drawing>
      </w:r>
    </w:p>
    <w:p>
      <w:pPr>
        <w:pStyle w:val="2"/>
        <w:jc w:val="center"/>
      </w:pPr>
      <w:r>
        <w:drawing>
          <wp:inline distT="0" distB="0" distL="114300" distR="114300">
            <wp:extent cx="6116955" cy="8193405"/>
            <wp:effectExtent l="0" t="0" r="17145" b="1714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47"/>
                    <a:stretch>
                      <a:fillRect/>
                    </a:stretch>
                  </pic:blipFill>
                  <pic:spPr>
                    <a:xfrm>
                      <a:off x="0" y="0"/>
                      <a:ext cx="6116955" cy="8193405"/>
                    </a:xfrm>
                    <a:prstGeom prst="rect">
                      <a:avLst/>
                    </a:prstGeom>
                    <a:noFill/>
                    <a:ln>
                      <a:noFill/>
                    </a:ln>
                  </pic:spPr>
                </pic:pic>
              </a:graphicData>
            </a:graphic>
          </wp:inline>
        </w:drawing>
      </w:r>
    </w:p>
    <w:p>
      <w:pPr>
        <w:jc w:val="center"/>
      </w:pPr>
      <w:r>
        <w:drawing>
          <wp:inline distT="0" distB="0" distL="114300" distR="114300">
            <wp:extent cx="6116955" cy="8350250"/>
            <wp:effectExtent l="0" t="0" r="17145" b="12700"/>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48"/>
                    <a:stretch>
                      <a:fillRect/>
                    </a:stretch>
                  </pic:blipFill>
                  <pic:spPr>
                    <a:xfrm>
                      <a:off x="0" y="0"/>
                      <a:ext cx="6116955" cy="8350250"/>
                    </a:xfrm>
                    <a:prstGeom prst="rect">
                      <a:avLst/>
                    </a:prstGeom>
                    <a:noFill/>
                    <a:ln>
                      <a:noFill/>
                    </a:ln>
                  </pic:spPr>
                </pic:pic>
              </a:graphicData>
            </a:graphic>
          </wp:inline>
        </w:drawing>
      </w:r>
    </w:p>
    <w:p>
      <w:pPr>
        <w:pStyle w:val="2"/>
        <w:jc w:val="center"/>
      </w:pPr>
      <w:r>
        <w:drawing>
          <wp:inline distT="0" distB="0" distL="114300" distR="114300">
            <wp:extent cx="6118860" cy="8434070"/>
            <wp:effectExtent l="0" t="0" r="15240" b="508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49"/>
                    <a:stretch>
                      <a:fillRect/>
                    </a:stretch>
                  </pic:blipFill>
                  <pic:spPr>
                    <a:xfrm>
                      <a:off x="0" y="0"/>
                      <a:ext cx="6118860" cy="8434070"/>
                    </a:xfrm>
                    <a:prstGeom prst="rect">
                      <a:avLst/>
                    </a:prstGeom>
                    <a:noFill/>
                    <a:ln>
                      <a:noFill/>
                    </a:ln>
                  </pic:spPr>
                </pic:pic>
              </a:graphicData>
            </a:graphic>
          </wp:inline>
        </w:drawing>
      </w:r>
    </w:p>
    <w:p>
      <w:pPr>
        <w:jc w:val="center"/>
      </w:pPr>
      <w:r>
        <w:drawing>
          <wp:inline distT="0" distB="0" distL="114300" distR="114300">
            <wp:extent cx="5724525" cy="8039100"/>
            <wp:effectExtent l="0" t="0" r="9525"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50"/>
                    <a:stretch>
                      <a:fillRect/>
                    </a:stretch>
                  </pic:blipFill>
                  <pic:spPr>
                    <a:xfrm>
                      <a:off x="0" y="0"/>
                      <a:ext cx="5724525" cy="8039100"/>
                    </a:xfrm>
                    <a:prstGeom prst="rect">
                      <a:avLst/>
                    </a:prstGeom>
                    <a:noFill/>
                    <a:ln>
                      <a:noFill/>
                    </a:ln>
                  </pic:spPr>
                </pic:pic>
              </a:graphicData>
            </a:graphic>
          </wp:inline>
        </w:drawing>
      </w:r>
    </w:p>
    <w:p>
      <w:pPr>
        <w:pStyle w:val="2"/>
        <w:jc w:val="center"/>
      </w:pPr>
      <w:r>
        <w:drawing>
          <wp:inline distT="0" distB="0" distL="114300" distR="114300">
            <wp:extent cx="5724525" cy="8077200"/>
            <wp:effectExtent l="0" t="0" r="9525" b="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51"/>
                    <a:stretch>
                      <a:fillRect/>
                    </a:stretch>
                  </pic:blipFill>
                  <pic:spPr>
                    <a:xfrm>
                      <a:off x="0" y="0"/>
                      <a:ext cx="5724525" cy="8077200"/>
                    </a:xfrm>
                    <a:prstGeom prst="rect">
                      <a:avLst/>
                    </a:prstGeom>
                    <a:noFill/>
                    <a:ln>
                      <a:noFill/>
                    </a:ln>
                  </pic:spPr>
                </pic:pic>
              </a:graphicData>
            </a:graphic>
          </wp:inline>
        </w:drawing>
      </w:r>
    </w:p>
    <w:p>
      <w:pPr>
        <w:jc w:val="center"/>
      </w:pPr>
      <w:r>
        <w:drawing>
          <wp:inline distT="0" distB="0" distL="114300" distR="114300">
            <wp:extent cx="5762625" cy="8058150"/>
            <wp:effectExtent l="0" t="0" r="9525" b="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52"/>
                    <a:stretch>
                      <a:fillRect/>
                    </a:stretch>
                  </pic:blipFill>
                  <pic:spPr>
                    <a:xfrm>
                      <a:off x="0" y="0"/>
                      <a:ext cx="5762625" cy="8058150"/>
                    </a:xfrm>
                    <a:prstGeom prst="rect">
                      <a:avLst/>
                    </a:prstGeom>
                    <a:noFill/>
                    <a:ln>
                      <a:noFill/>
                    </a:ln>
                  </pic:spPr>
                </pic:pic>
              </a:graphicData>
            </a:graphic>
          </wp:inline>
        </w:drawing>
      </w:r>
    </w:p>
    <w:p>
      <w:pPr>
        <w:pStyle w:val="2"/>
        <w:jc w:val="center"/>
      </w:pPr>
      <w:r>
        <w:drawing>
          <wp:inline distT="0" distB="0" distL="114300" distR="114300">
            <wp:extent cx="5686425" cy="8058150"/>
            <wp:effectExtent l="0" t="0" r="9525" b="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53"/>
                    <a:stretch>
                      <a:fillRect/>
                    </a:stretch>
                  </pic:blipFill>
                  <pic:spPr>
                    <a:xfrm>
                      <a:off x="0" y="0"/>
                      <a:ext cx="5686425" cy="8058150"/>
                    </a:xfrm>
                    <a:prstGeom prst="rect">
                      <a:avLst/>
                    </a:prstGeom>
                    <a:noFill/>
                    <a:ln>
                      <a:noFill/>
                    </a:ln>
                  </pic:spPr>
                </pic:pic>
              </a:graphicData>
            </a:graphic>
          </wp:inline>
        </w:drawing>
      </w:r>
    </w:p>
    <w:p>
      <w:pPr>
        <w:jc w:val="center"/>
      </w:pPr>
      <w:r>
        <w:drawing>
          <wp:inline distT="0" distB="0" distL="114300" distR="114300">
            <wp:extent cx="5705475" cy="8029575"/>
            <wp:effectExtent l="0" t="0" r="9525"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54"/>
                    <a:stretch>
                      <a:fillRect/>
                    </a:stretch>
                  </pic:blipFill>
                  <pic:spPr>
                    <a:xfrm>
                      <a:off x="0" y="0"/>
                      <a:ext cx="5705475" cy="8029575"/>
                    </a:xfrm>
                    <a:prstGeom prst="rect">
                      <a:avLst/>
                    </a:prstGeom>
                    <a:noFill/>
                    <a:ln>
                      <a:noFill/>
                    </a:ln>
                  </pic:spPr>
                </pic:pic>
              </a:graphicData>
            </a:graphic>
          </wp:inline>
        </w:drawing>
      </w:r>
    </w:p>
    <w:p>
      <w:pPr>
        <w:pStyle w:val="2"/>
        <w:jc w:val="center"/>
      </w:pPr>
      <w:r>
        <w:drawing>
          <wp:inline distT="0" distB="0" distL="114300" distR="114300">
            <wp:extent cx="5743575" cy="8048625"/>
            <wp:effectExtent l="0" t="0" r="9525" b="952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5"/>
                    <a:stretch>
                      <a:fillRect/>
                    </a:stretch>
                  </pic:blipFill>
                  <pic:spPr>
                    <a:xfrm>
                      <a:off x="0" y="0"/>
                      <a:ext cx="5743575" cy="8048625"/>
                    </a:xfrm>
                    <a:prstGeom prst="rect">
                      <a:avLst/>
                    </a:prstGeom>
                    <a:noFill/>
                    <a:ln>
                      <a:noFill/>
                    </a:ln>
                  </pic:spPr>
                </pic:pic>
              </a:graphicData>
            </a:graphic>
          </wp:inline>
        </w:drawing>
      </w:r>
    </w:p>
    <w:p>
      <w:pPr>
        <w:jc w:val="center"/>
      </w:pPr>
      <w:r>
        <w:drawing>
          <wp:inline distT="0" distB="0" distL="114300" distR="114300">
            <wp:extent cx="5705475" cy="8058150"/>
            <wp:effectExtent l="0" t="0" r="9525" b="0"/>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56"/>
                    <a:stretch>
                      <a:fillRect/>
                    </a:stretch>
                  </pic:blipFill>
                  <pic:spPr>
                    <a:xfrm>
                      <a:off x="0" y="0"/>
                      <a:ext cx="5705475" cy="8058150"/>
                    </a:xfrm>
                    <a:prstGeom prst="rect">
                      <a:avLst/>
                    </a:prstGeom>
                    <a:noFill/>
                    <a:ln>
                      <a:noFill/>
                    </a:ln>
                  </pic:spPr>
                </pic:pic>
              </a:graphicData>
            </a:graphic>
          </wp:inline>
        </w:drawing>
      </w:r>
    </w:p>
    <w:p>
      <w:pPr>
        <w:pStyle w:val="2"/>
        <w:jc w:val="center"/>
      </w:pPr>
      <w:r>
        <w:drawing>
          <wp:inline distT="0" distB="0" distL="114300" distR="114300">
            <wp:extent cx="5715000" cy="7981950"/>
            <wp:effectExtent l="0" t="0" r="0" b="0"/>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57"/>
                    <a:stretch>
                      <a:fillRect/>
                    </a:stretch>
                  </pic:blipFill>
                  <pic:spPr>
                    <a:xfrm>
                      <a:off x="0" y="0"/>
                      <a:ext cx="5715000" cy="7981950"/>
                    </a:xfrm>
                    <a:prstGeom prst="rect">
                      <a:avLst/>
                    </a:prstGeom>
                    <a:noFill/>
                    <a:ln>
                      <a:noFill/>
                    </a:ln>
                  </pic:spPr>
                </pic:pic>
              </a:graphicData>
            </a:graphic>
          </wp:inline>
        </w:drawing>
      </w:r>
    </w:p>
    <w:p>
      <w:pPr>
        <w:jc w:val="center"/>
      </w:pPr>
      <w:r>
        <w:drawing>
          <wp:inline distT="0" distB="0" distL="114300" distR="114300">
            <wp:extent cx="5772150" cy="7781925"/>
            <wp:effectExtent l="0" t="0" r="0" b="9525"/>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58"/>
                    <a:stretch>
                      <a:fillRect/>
                    </a:stretch>
                  </pic:blipFill>
                  <pic:spPr>
                    <a:xfrm>
                      <a:off x="0" y="0"/>
                      <a:ext cx="5772150" cy="7781925"/>
                    </a:xfrm>
                    <a:prstGeom prst="rect">
                      <a:avLst/>
                    </a:prstGeom>
                    <a:noFill/>
                    <a:ln>
                      <a:noFill/>
                    </a:ln>
                  </pic:spPr>
                </pic:pic>
              </a:graphicData>
            </a:graphic>
          </wp:inline>
        </w:drawing>
      </w:r>
    </w:p>
    <w:p>
      <w:pPr>
        <w:pStyle w:val="32"/>
      </w:pPr>
    </w:p>
    <w:p>
      <w:pPr>
        <w:pStyle w:val="32"/>
      </w:pPr>
    </w:p>
    <w:p>
      <w:pPr>
        <w:pStyle w:val="32"/>
      </w:pPr>
    </w:p>
    <w:p>
      <w:pPr>
        <w:pStyle w:val="32"/>
      </w:pPr>
    </w:p>
    <w:p>
      <w:pPr>
        <w:pStyle w:val="32"/>
      </w:pPr>
    </w:p>
    <w:p>
      <w:pPr>
        <w:pStyle w:val="3"/>
        <w:tabs>
          <w:tab w:val="left" w:pos="7275"/>
        </w:tabs>
        <w:spacing w:beforeLines="50" w:afterLines="50" w:line="240" w:lineRule="auto"/>
        <w:rPr>
          <w:rFonts w:hint="eastAsia"/>
          <w:sz w:val="28"/>
          <w:szCs w:val="28"/>
        </w:rPr>
      </w:pPr>
      <w:bookmarkStart w:id="26" w:name="_Toc1453"/>
      <w:bookmarkStart w:id="27" w:name="_Toc21510452"/>
      <w:r>
        <w:rPr>
          <w:sz w:val="28"/>
          <w:szCs w:val="28"/>
        </w:rPr>
        <w:t>件</w:t>
      </w:r>
      <w:r>
        <w:rPr>
          <w:rFonts w:hint="eastAsia"/>
          <w:sz w:val="28"/>
          <w:szCs w:val="28"/>
        </w:rPr>
        <w:t>7</w:t>
      </w:r>
      <w:r>
        <w:rPr>
          <w:sz w:val="28"/>
          <w:szCs w:val="28"/>
        </w:rPr>
        <w:t>、</w:t>
      </w:r>
      <w:r>
        <w:rPr>
          <w:rFonts w:hint="eastAsia"/>
          <w:sz w:val="28"/>
          <w:szCs w:val="28"/>
        </w:rPr>
        <w:t>验收意见及签到表</w:t>
      </w:r>
      <w:bookmarkEnd w:id="26"/>
      <w:bookmarkEnd w:id="27"/>
    </w:p>
    <w:p>
      <w:r>
        <w:drawing>
          <wp:inline distT="0" distB="0" distL="114300" distR="114300">
            <wp:extent cx="6057900" cy="7743825"/>
            <wp:effectExtent l="0" t="0" r="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9"/>
                    <a:stretch>
                      <a:fillRect/>
                    </a:stretch>
                  </pic:blipFill>
                  <pic:spPr>
                    <a:xfrm>
                      <a:off x="0" y="0"/>
                      <a:ext cx="6057900" cy="7743825"/>
                    </a:xfrm>
                    <a:prstGeom prst="rect">
                      <a:avLst/>
                    </a:prstGeom>
                    <a:noFill/>
                    <a:ln>
                      <a:noFill/>
                    </a:ln>
                  </pic:spPr>
                </pic:pic>
              </a:graphicData>
            </a:graphic>
          </wp:inline>
        </w:drawing>
      </w:r>
    </w:p>
    <w:p>
      <w:pPr>
        <w:pStyle w:val="2"/>
      </w:pPr>
      <w:r>
        <w:drawing>
          <wp:inline distT="0" distB="0" distL="114300" distR="114300">
            <wp:extent cx="5305425" cy="7562850"/>
            <wp:effectExtent l="0" t="0" r="952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0"/>
                    <a:stretch>
                      <a:fillRect/>
                    </a:stretch>
                  </pic:blipFill>
                  <pic:spPr>
                    <a:xfrm>
                      <a:off x="0" y="0"/>
                      <a:ext cx="5305425" cy="7562850"/>
                    </a:xfrm>
                    <a:prstGeom prst="rect">
                      <a:avLst/>
                    </a:prstGeom>
                    <a:noFill/>
                    <a:ln>
                      <a:noFill/>
                    </a:ln>
                  </pic:spPr>
                </pic:pic>
              </a:graphicData>
            </a:graphic>
          </wp:inline>
        </w:drawing>
      </w:r>
    </w:p>
    <w:p>
      <w:pPr>
        <w:jc w:val="center"/>
      </w:pPr>
      <w:r>
        <w:drawing>
          <wp:inline distT="0" distB="0" distL="114300" distR="114300">
            <wp:extent cx="5295900" cy="7258050"/>
            <wp:effectExtent l="0" t="0" r="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61"/>
                    <a:stretch>
                      <a:fillRect/>
                    </a:stretch>
                  </pic:blipFill>
                  <pic:spPr>
                    <a:xfrm>
                      <a:off x="0" y="0"/>
                      <a:ext cx="5295900" cy="7258050"/>
                    </a:xfrm>
                    <a:prstGeom prst="rect">
                      <a:avLst/>
                    </a:prstGeom>
                    <a:noFill/>
                    <a:ln>
                      <a:noFill/>
                    </a:ln>
                  </pic:spPr>
                </pic:pic>
              </a:graphicData>
            </a:graphic>
          </wp:inline>
        </w:drawing>
      </w:r>
    </w:p>
    <w:p>
      <w:pPr>
        <w:pStyle w:val="2"/>
        <w:jc w:val="center"/>
      </w:pPr>
      <w:bookmarkStart w:id="28" w:name="_GoBack"/>
      <w:r>
        <w:drawing>
          <wp:inline distT="0" distB="0" distL="114300" distR="114300">
            <wp:extent cx="5276850" cy="7448550"/>
            <wp:effectExtent l="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62"/>
                    <a:stretch>
                      <a:fillRect/>
                    </a:stretch>
                  </pic:blipFill>
                  <pic:spPr>
                    <a:xfrm>
                      <a:off x="0" y="0"/>
                      <a:ext cx="5276850" cy="7448550"/>
                    </a:xfrm>
                    <a:prstGeom prst="rect">
                      <a:avLst/>
                    </a:prstGeom>
                    <a:noFill/>
                    <a:ln>
                      <a:noFill/>
                    </a:ln>
                  </pic:spPr>
                </pic:pic>
              </a:graphicData>
            </a:graphic>
          </wp:inline>
        </w:drawing>
      </w:r>
      <w:bookmarkEnd w:id="28"/>
    </w:p>
    <w:p>
      <w:pPr>
        <w:keepNext w:val="0"/>
        <w:keepLines w:val="0"/>
        <w:pageBreakBefore w:val="0"/>
        <w:widowControl/>
        <w:kinsoku/>
        <w:wordWrap/>
        <w:overflowPunct/>
        <w:topLinePunct w:val="0"/>
        <w:autoSpaceDE/>
        <w:autoSpaceDN/>
        <w:bidi w:val="0"/>
        <w:adjustRightInd/>
        <w:snapToGrid/>
        <w:spacing w:before="157" w:beforeLines="50"/>
        <w:jc w:val="center"/>
        <w:textAlignment w:val="auto"/>
      </w:pPr>
      <w:r>
        <w:drawing>
          <wp:inline distT="0" distB="0" distL="114300" distR="114300">
            <wp:extent cx="5581650" cy="77533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3"/>
                    <a:stretch>
                      <a:fillRect/>
                    </a:stretch>
                  </pic:blipFill>
                  <pic:spPr>
                    <a:xfrm>
                      <a:off x="0" y="0"/>
                      <a:ext cx="5581650" cy="7753350"/>
                    </a:xfrm>
                    <a:prstGeom prst="rect">
                      <a:avLst/>
                    </a:prstGeom>
                    <a:noFill/>
                    <a:ln>
                      <a:noFill/>
                    </a:ln>
                  </pic:spPr>
                </pic:pic>
              </a:graphicData>
            </a:graphic>
          </wp:inline>
        </w:drawing>
      </w:r>
    </w:p>
    <w:p>
      <w:pPr>
        <w:pStyle w:val="32"/>
      </w:pPr>
    </w:p>
    <w:p>
      <w:pPr>
        <w:widowControl/>
        <w:jc w:val="center"/>
        <w:rPr>
          <w:b/>
          <w:sz w:val="24"/>
        </w:rPr>
      </w:pPr>
    </w:p>
    <w:p>
      <w:pPr>
        <w:pStyle w:val="32"/>
        <w:keepNext w:val="0"/>
        <w:keepLines w:val="0"/>
        <w:pageBreakBefore w:val="0"/>
        <w:widowControl w:val="0"/>
        <w:kinsoku/>
        <w:wordWrap/>
        <w:overflowPunct/>
        <w:topLinePunct w:val="0"/>
        <w:autoSpaceDE/>
        <w:autoSpaceDN/>
        <w:bidi w:val="0"/>
        <w:adjustRightInd/>
        <w:snapToGrid/>
        <w:ind w:firstLine="0" w:firstLineChars="0"/>
        <w:jc w:val="left"/>
        <w:textAlignment w:val="auto"/>
        <w:outlineLvl w:val="2"/>
      </w:pP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pPr>
    </w:p>
    <w:p>
      <w:pPr>
        <w:pStyle w:val="32"/>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2"/>
        <w:rPr>
          <w:rFonts w:hint="default"/>
          <w:lang w:val="en-US" w:eastAsia="zh-CN"/>
        </w:rPr>
      </w:pPr>
    </w:p>
    <w:p>
      <w:pPr>
        <w:pStyle w:val="32"/>
        <w:rPr>
          <w:rFonts w:hint="default"/>
          <w:lang w:val="en-US" w:eastAsia="zh-CN"/>
        </w:rPr>
      </w:pPr>
    </w:p>
    <w:p>
      <w:pPr>
        <w:pStyle w:val="32"/>
        <w:rPr>
          <w:rFonts w:hint="default"/>
          <w:lang w:val="en-US" w:eastAsia="zh-CN"/>
        </w:rPr>
      </w:pPr>
    </w:p>
    <w:sectPr>
      <w:pgSz w:w="11906" w:h="16838"/>
      <w:pgMar w:top="1134" w:right="1134" w:bottom="1134" w:left="113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left="8674" w:hanging="8674" w:hangingChars="4800"/>
    </w:pPr>
    <w:r>
      <w:pict>
        <v:shape id="_x0000_s2052" o:spid="_x0000_s2052"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weight="0.5pt" dashstyle="dashDot" endarrow="block"/>
          <v:imagedata o:title=""/>
          <o:lock v:ext="edit"/>
          <v:textbox inset="0mm,0mm,0mm,0mm" style="mso-fit-shape-to-text:t;">
            <w:txbxContent>
              <w:p>
                <w:pPr>
                  <w:pStyle w:val="22"/>
                  <w:ind w:left="8674" w:hanging="8674" w:hangingChars="4800"/>
                </w:pPr>
                <w:r>
                  <w:rPr>
                    <w:rFonts w:hint="eastAsia"/>
                  </w:rPr>
                  <w:t>华润新能源（</w:t>
                </w:r>
                <w:r>
                  <w:rPr>
                    <w:rFonts w:hint="eastAsia"/>
                    <w:lang w:eastAsia="zh-CN"/>
                  </w:rPr>
                  <w:t>邳州</w:t>
                </w:r>
                <w:r>
                  <w:rPr>
                    <w:rFonts w:hint="eastAsia"/>
                  </w:rPr>
                  <w:t xml:space="preserve">）有限公司 第 </w:t>
                </w:r>
                <w:r>
                  <w:fldChar w:fldCharType="begin"/>
                </w:r>
                <w:r>
                  <w:instrText xml:space="preserve"> PAGE </w:instrText>
                </w:r>
                <w:r>
                  <w:fldChar w:fldCharType="separate"/>
                </w:r>
                <w:r>
                  <w:t>29</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left="8674" w:hanging="8674" w:hangingChars="4800"/>
    </w:pPr>
    <w:r>
      <w:pict>
        <v:shape id="_x0000_s2053" o:spid="_x0000_s2053"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weight="0.5pt" dashstyle="dashDot" endarrow="block"/>
          <v:imagedata o:title=""/>
          <o:lock v:ext="edit"/>
          <v:textbox inset="0mm,0mm,0mm,0mm" style="mso-fit-shape-to-text:t;">
            <w:txbxContent>
              <w:p>
                <w:pPr>
                  <w:pStyle w:val="22"/>
                  <w:ind w:left="8674" w:hanging="8674" w:hangingChars="4800"/>
                </w:pPr>
                <w:r>
                  <w:rPr>
                    <w:rFonts w:hint="eastAsia"/>
                  </w:rPr>
                  <w:t>华润新能源（</w:t>
                </w:r>
                <w:r>
                  <w:rPr>
                    <w:rFonts w:hint="eastAsia"/>
                    <w:lang w:eastAsia="zh-CN"/>
                  </w:rPr>
                  <w:t>邳州</w:t>
                </w:r>
                <w:r>
                  <w:rPr>
                    <w:rFonts w:hint="eastAsia"/>
                  </w:rPr>
                  <w:t xml:space="preserve">）有限公司 第 </w:t>
                </w:r>
                <w:r>
                  <w:fldChar w:fldCharType="begin"/>
                </w:r>
                <w:r>
                  <w:instrText xml:space="preserve"> PAGE </w:instrText>
                </w:r>
                <w:r>
                  <w:fldChar w:fldCharType="separate"/>
                </w:r>
                <w:r>
                  <w:t>30</w:t>
                </w:r>
                <w:r>
                  <w:fldChar w:fldCharType="end"/>
                </w:r>
                <w:r>
                  <w:rPr>
                    <w:rFonts w:hint="eastAsia"/>
                  </w:rPr>
                  <w:t xml:space="preserve"> 页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pict>
        <v:shape id="_x0000_s2050" o:spid="_x0000_s2050"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weight="0.5pt" dashstyle="dashDot" endarrow="block"/>
          <v:imagedata o:title=""/>
          <o:lock v:ext="edit"/>
          <v:textbox inset="0mm,0mm,0mm,0mm" style="mso-fit-shape-to-text:t;">
            <w:txbxContent>
              <w:p>
                <w:pPr>
                  <w:pStyle w:val="22"/>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w:r>
    <w:r>
      <w:rPr>
        <w:rFonts w:hint="eastAsia"/>
      </w:rPr>
      <w:t>华润新能源（</w:t>
    </w:r>
    <w:r>
      <w:rPr>
        <w:rFonts w:hint="eastAsia"/>
        <w:lang w:eastAsia="zh-CN"/>
      </w:rPr>
      <w:t>邳州</w:t>
    </w:r>
    <w:r>
      <w:rPr>
        <w:rFonts w:hint="eastAsia"/>
      </w:rPr>
      <w:t>）有限公司</w:t>
    </w:r>
  </w:p>
  <w:p>
    <w:pPr>
      <w:pStyle w:val="2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left="0" w:firstLine="0" w:firstLineChars="0"/>
      <w:jc w:val="both"/>
    </w:pPr>
    <w:r>
      <w:pict>
        <v:shape id="_x0000_s2051" o:spid="_x0000_s2051"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22"/>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w:r>
    <w:r>
      <w:rPr>
        <w:rFonts w:hint="eastAsia"/>
      </w:rPr>
      <w:t>华润新能源（</w:t>
    </w:r>
    <w:r>
      <w:rPr>
        <w:rFonts w:hint="eastAsia"/>
        <w:lang w:eastAsia="zh-CN"/>
      </w:rPr>
      <w:t>邳州</w:t>
    </w:r>
    <w:r>
      <w:rPr>
        <w:rFonts w:hint="eastAsia"/>
      </w:rPr>
      <w:t>）有限公司</w:t>
    </w:r>
  </w:p>
  <w:p>
    <w:pPr>
      <w:pStyle w:val="22"/>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b/>
        <w:bCs/>
      </w:rPr>
    </w:pPr>
    <w:r>
      <w:rPr>
        <w:rFonts w:hint="eastAsia"/>
        <w:b/>
        <w:bCs/>
      </w:rPr>
      <w:t>华润新能源（</w:t>
    </w:r>
    <w:r>
      <w:rPr>
        <w:rFonts w:hint="eastAsia"/>
        <w:b/>
        <w:bCs/>
        <w:lang w:eastAsia="zh-CN"/>
      </w:rPr>
      <w:t>邳州</w:t>
    </w:r>
    <w:r>
      <w:rPr>
        <w:rFonts w:hint="eastAsia"/>
        <w:b/>
        <w:bCs/>
      </w:rPr>
      <w:t>）有限公司</w:t>
    </w:r>
    <w:r>
      <w:rPr>
        <w:rFonts w:hint="eastAsia"/>
        <w:b/>
        <w:bCs/>
        <w:lang w:val="en-US" w:eastAsia="zh-CN"/>
      </w:rPr>
      <w:t>邳州市车辐山戴庄</w:t>
    </w:r>
    <w:r>
      <w:rPr>
        <w:rFonts w:hint="eastAsia"/>
        <w:b/>
        <w:bCs/>
      </w:rPr>
      <w:t>风电项目</w:t>
    </w:r>
    <w:r>
      <w:rPr>
        <w:b/>
        <w:bCs/>
      </w:rPr>
      <w:t>竣工环境保护验收</w:t>
    </w:r>
    <w:r>
      <w:rPr>
        <w:rFonts w:hint="eastAsia"/>
        <w:b/>
        <w:bCs/>
      </w:rPr>
      <w:t>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975FA6"/>
    <w:multiLevelType w:val="singleLevel"/>
    <w:tmpl w:val="BF975FA6"/>
    <w:lvl w:ilvl="0" w:tentative="0">
      <w:start w:val="4"/>
      <w:numFmt w:val="decimal"/>
      <w:suff w:val="nothing"/>
      <w:lvlText w:val="（%1）"/>
      <w:lvlJc w:val="left"/>
    </w:lvl>
  </w:abstractNum>
  <w:abstractNum w:abstractNumId="1">
    <w:nsid w:val="BFD49C2C"/>
    <w:multiLevelType w:val="singleLevel"/>
    <w:tmpl w:val="BFD49C2C"/>
    <w:lvl w:ilvl="0" w:tentative="0">
      <w:start w:val="1"/>
      <w:numFmt w:val="chineseCounting"/>
      <w:suff w:val="nothing"/>
      <w:lvlText w:val="%1、"/>
      <w:lvlJc w:val="left"/>
      <w:rPr>
        <w:rFonts w:hint="eastAsia"/>
        <w:sz w:val="24"/>
        <w:szCs w:val="24"/>
      </w:rPr>
    </w:lvl>
  </w:abstractNum>
  <w:abstractNum w:abstractNumId="2">
    <w:nsid w:val="C4288764"/>
    <w:multiLevelType w:val="singleLevel"/>
    <w:tmpl w:val="C4288764"/>
    <w:lvl w:ilvl="0" w:tentative="0">
      <w:start w:val="1"/>
      <w:numFmt w:val="decimal"/>
      <w:suff w:val="nothing"/>
      <w:lvlText w:val="%1、"/>
      <w:lvlJc w:val="left"/>
      <w:pPr>
        <w:ind w:left="150"/>
      </w:pPr>
      <w:rPr>
        <w:rFonts w:hint="default"/>
        <w:b w:val="0"/>
        <w:bCs w:val="0"/>
      </w:rPr>
    </w:lvl>
  </w:abstractNum>
  <w:abstractNum w:abstractNumId="3">
    <w:nsid w:val="FEE905DC"/>
    <w:multiLevelType w:val="singleLevel"/>
    <w:tmpl w:val="FEE905DC"/>
    <w:lvl w:ilvl="0" w:tentative="0">
      <w:start w:val="3"/>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JiNTAzMzU0ZTY3ZDU4NjNlNzIzOWRlYTgzYTMxMWQifQ=="/>
  </w:docVars>
  <w:rsids>
    <w:rsidRoot w:val="00172A27"/>
    <w:rsid w:val="000001FC"/>
    <w:rsid w:val="000007D6"/>
    <w:rsid w:val="00000BA9"/>
    <w:rsid w:val="00000BD0"/>
    <w:rsid w:val="00000EF1"/>
    <w:rsid w:val="000016D5"/>
    <w:rsid w:val="000018DC"/>
    <w:rsid w:val="00001FA3"/>
    <w:rsid w:val="000035D9"/>
    <w:rsid w:val="00003B8C"/>
    <w:rsid w:val="00003C57"/>
    <w:rsid w:val="000041B0"/>
    <w:rsid w:val="000041E7"/>
    <w:rsid w:val="0000490F"/>
    <w:rsid w:val="0000514D"/>
    <w:rsid w:val="0000589B"/>
    <w:rsid w:val="00006549"/>
    <w:rsid w:val="00006765"/>
    <w:rsid w:val="000105CE"/>
    <w:rsid w:val="00010F19"/>
    <w:rsid w:val="0001190C"/>
    <w:rsid w:val="0001268D"/>
    <w:rsid w:val="00012E0B"/>
    <w:rsid w:val="000136BC"/>
    <w:rsid w:val="0001370E"/>
    <w:rsid w:val="00013BDD"/>
    <w:rsid w:val="00014BCA"/>
    <w:rsid w:val="00015060"/>
    <w:rsid w:val="00015184"/>
    <w:rsid w:val="00015D60"/>
    <w:rsid w:val="00015DEF"/>
    <w:rsid w:val="00016628"/>
    <w:rsid w:val="0001672D"/>
    <w:rsid w:val="0001700E"/>
    <w:rsid w:val="0001735C"/>
    <w:rsid w:val="00017603"/>
    <w:rsid w:val="00017B0E"/>
    <w:rsid w:val="00017B19"/>
    <w:rsid w:val="00017D74"/>
    <w:rsid w:val="00017FC7"/>
    <w:rsid w:val="000202BE"/>
    <w:rsid w:val="00020EC8"/>
    <w:rsid w:val="00021779"/>
    <w:rsid w:val="00021E91"/>
    <w:rsid w:val="00021FB0"/>
    <w:rsid w:val="0002344B"/>
    <w:rsid w:val="00023823"/>
    <w:rsid w:val="00024285"/>
    <w:rsid w:val="000246E5"/>
    <w:rsid w:val="000246F0"/>
    <w:rsid w:val="00024A35"/>
    <w:rsid w:val="0002537B"/>
    <w:rsid w:val="000253E3"/>
    <w:rsid w:val="00026417"/>
    <w:rsid w:val="000269DE"/>
    <w:rsid w:val="00026ACB"/>
    <w:rsid w:val="00026D08"/>
    <w:rsid w:val="00026FF1"/>
    <w:rsid w:val="00027645"/>
    <w:rsid w:val="00027BF6"/>
    <w:rsid w:val="00030749"/>
    <w:rsid w:val="00030E21"/>
    <w:rsid w:val="000312F7"/>
    <w:rsid w:val="000321D1"/>
    <w:rsid w:val="00032821"/>
    <w:rsid w:val="00032B68"/>
    <w:rsid w:val="00033895"/>
    <w:rsid w:val="000341ED"/>
    <w:rsid w:val="00034CD0"/>
    <w:rsid w:val="00035030"/>
    <w:rsid w:val="00035A35"/>
    <w:rsid w:val="00035B68"/>
    <w:rsid w:val="00035BE5"/>
    <w:rsid w:val="000364DA"/>
    <w:rsid w:val="000369A5"/>
    <w:rsid w:val="00036AB7"/>
    <w:rsid w:val="00036C33"/>
    <w:rsid w:val="00036CA1"/>
    <w:rsid w:val="00037174"/>
    <w:rsid w:val="00037194"/>
    <w:rsid w:val="00037A0A"/>
    <w:rsid w:val="00037A93"/>
    <w:rsid w:val="00037BC0"/>
    <w:rsid w:val="00040008"/>
    <w:rsid w:val="000407EC"/>
    <w:rsid w:val="00041137"/>
    <w:rsid w:val="000416AA"/>
    <w:rsid w:val="000418EE"/>
    <w:rsid w:val="000419B1"/>
    <w:rsid w:val="00041A04"/>
    <w:rsid w:val="00042B94"/>
    <w:rsid w:val="00043E63"/>
    <w:rsid w:val="00043FFA"/>
    <w:rsid w:val="00044FF1"/>
    <w:rsid w:val="0004562C"/>
    <w:rsid w:val="00045CC0"/>
    <w:rsid w:val="00047303"/>
    <w:rsid w:val="00047B93"/>
    <w:rsid w:val="000500BA"/>
    <w:rsid w:val="00050B6C"/>
    <w:rsid w:val="00050F61"/>
    <w:rsid w:val="00051BF7"/>
    <w:rsid w:val="000520D7"/>
    <w:rsid w:val="00052FD0"/>
    <w:rsid w:val="00053E60"/>
    <w:rsid w:val="00053E8A"/>
    <w:rsid w:val="00054899"/>
    <w:rsid w:val="00055055"/>
    <w:rsid w:val="00055B1B"/>
    <w:rsid w:val="00055F11"/>
    <w:rsid w:val="000562F7"/>
    <w:rsid w:val="0005692A"/>
    <w:rsid w:val="00056E67"/>
    <w:rsid w:val="00057594"/>
    <w:rsid w:val="00057665"/>
    <w:rsid w:val="00057D80"/>
    <w:rsid w:val="00061845"/>
    <w:rsid w:val="00061887"/>
    <w:rsid w:val="00061AD1"/>
    <w:rsid w:val="00061F2A"/>
    <w:rsid w:val="00063634"/>
    <w:rsid w:val="00063652"/>
    <w:rsid w:val="00063C09"/>
    <w:rsid w:val="00063E3F"/>
    <w:rsid w:val="000644EA"/>
    <w:rsid w:val="000645ED"/>
    <w:rsid w:val="000647CF"/>
    <w:rsid w:val="00064AC1"/>
    <w:rsid w:val="000654FE"/>
    <w:rsid w:val="0006586F"/>
    <w:rsid w:val="00065C3C"/>
    <w:rsid w:val="00066309"/>
    <w:rsid w:val="00066AF7"/>
    <w:rsid w:val="0006735A"/>
    <w:rsid w:val="000677E7"/>
    <w:rsid w:val="000711F4"/>
    <w:rsid w:val="0007169B"/>
    <w:rsid w:val="00071799"/>
    <w:rsid w:val="00071F49"/>
    <w:rsid w:val="00072744"/>
    <w:rsid w:val="00072882"/>
    <w:rsid w:val="00072D62"/>
    <w:rsid w:val="00072D87"/>
    <w:rsid w:val="00072FC2"/>
    <w:rsid w:val="000743EA"/>
    <w:rsid w:val="00074FDF"/>
    <w:rsid w:val="00075832"/>
    <w:rsid w:val="0007587F"/>
    <w:rsid w:val="00075F90"/>
    <w:rsid w:val="00076564"/>
    <w:rsid w:val="000769A3"/>
    <w:rsid w:val="00076F0B"/>
    <w:rsid w:val="000774A5"/>
    <w:rsid w:val="0008057C"/>
    <w:rsid w:val="00080F26"/>
    <w:rsid w:val="00082DB9"/>
    <w:rsid w:val="00083B55"/>
    <w:rsid w:val="00083C9F"/>
    <w:rsid w:val="000843C4"/>
    <w:rsid w:val="00085409"/>
    <w:rsid w:val="00085903"/>
    <w:rsid w:val="00085DD0"/>
    <w:rsid w:val="00086722"/>
    <w:rsid w:val="00086A81"/>
    <w:rsid w:val="00086CAC"/>
    <w:rsid w:val="00087AC2"/>
    <w:rsid w:val="00091174"/>
    <w:rsid w:val="0009119F"/>
    <w:rsid w:val="000912F4"/>
    <w:rsid w:val="000913F3"/>
    <w:rsid w:val="000917A2"/>
    <w:rsid w:val="00091CC8"/>
    <w:rsid w:val="000924F2"/>
    <w:rsid w:val="000927B4"/>
    <w:rsid w:val="00092BC5"/>
    <w:rsid w:val="00094BB1"/>
    <w:rsid w:val="00094E70"/>
    <w:rsid w:val="0009506B"/>
    <w:rsid w:val="0009548D"/>
    <w:rsid w:val="0009585D"/>
    <w:rsid w:val="00096488"/>
    <w:rsid w:val="00096DF5"/>
    <w:rsid w:val="000971B1"/>
    <w:rsid w:val="00097392"/>
    <w:rsid w:val="00097686"/>
    <w:rsid w:val="000A022E"/>
    <w:rsid w:val="000A138E"/>
    <w:rsid w:val="000A13CA"/>
    <w:rsid w:val="000A1834"/>
    <w:rsid w:val="000A1EC2"/>
    <w:rsid w:val="000A264A"/>
    <w:rsid w:val="000A2889"/>
    <w:rsid w:val="000A2D9A"/>
    <w:rsid w:val="000A32D7"/>
    <w:rsid w:val="000A3F59"/>
    <w:rsid w:val="000A6E05"/>
    <w:rsid w:val="000A6FA7"/>
    <w:rsid w:val="000A7A31"/>
    <w:rsid w:val="000B06B5"/>
    <w:rsid w:val="000B2223"/>
    <w:rsid w:val="000B370E"/>
    <w:rsid w:val="000B3C46"/>
    <w:rsid w:val="000B4A6E"/>
    <w:rsid w:val="000B4F05"/>
    <w:rsid w:val="000B67FF"/>
    <w:rsid w:val="000B6BF4"/>
    <w:rsid w:val="000B7462"/>
    <w:rsid w:val="000B7C1C"/>
    <w:rsid w:val="000B7FBF"/>
    <w:rsid w:val="000C008B"/>
    <w:rsid w:val="000C00A3"/>
    <w:rsid w:val="000C1295"/>
    <w:rsid w:val="000C194E"/>
    <w:rsid w:val="000C2461"/>
    <w:rsid w:val="000C28AF"/>
    <w:rsid w:val="000C2B10"/>
    <w:rsid w:val="000C2F3C"/>
    <w:rsid w:val="000C3384"/>
    <w:rsid w:val="000C3F41"/>
    <w:rsid w:val="000C51B7"/>
    <w:rsid w:val="000C5E84"/>
    <w:rsid w:val="000C7198"/>
    <w:rsid w:val="000C76AB"/>
    <w:rsid w:val="000C7A89"/>
    <w:rsid w:val="000D00E8"/>
    <w:rsid w:val="000D0109"/>
    <w:rsid w:val="000D0621"/>
    <w:rsid w:val="000D0703"/>
    <w:rsid w:val="000D08B5"/>
    <w:rsid w:val="000D0F4B"/>
    <w:rsid w:val="000D102F"/>
    <w:rsid w:val="000D172A"/>
    <w:rsid w:val="000D1A00"/>
    <w:rsid w:val="000D1BB1"/>
    <w:rsid w:val="000D265C"/>
    <w:rsid w:val="000D2E1F"/>
    <w:rsid w:val="000D3035"/>
    <w:rsid w:val="000D3A02"/>
    <w:rsid w:val="000D47B1"/>
    <w:rsid w:val="000D49BC"/>
    <w:rsid w:val="000D4B81"/>
    <w:rsid w:val="000D546E"/>
    <w:rsid w:val="000D5B5C"/>
    <w:rsid w:val="000D5C58"/>
    <w:rsid w:val="000D5D65"/>
    <w:rsid w:val="000D616B"/>
    <w:rsid w:val="000D61BB"/>
    <w:rsid w:val="000D6DFE"/>
    <w:rsid w:val="000D6F82"/>
    <w:rsid w:val="000D7019"/>
    <w:rsid w:val="000D70F9"/>
    <w:rsid w:val="000D7D19"/>
    <w:rsid w:val="000E0130"/>
    <w:rsid w:val="000E0195"/>
    <w:rsid w:val="000E0A07"/>
    <w:rsid w:val="000E105A"/>
    <w:rsid w:val="000E16C2"/>
    <w:rsid w:val="000E2A08"/>
    <w:rsid w:val="000E2E32"/>
    <w:rsid w:val="000E3A5C"/>
    <w:rsid w:val="000E3F30"/>
    <w:rsid w:val="000E4D2E"/>
    <w:rsid w:val="000E533A"/>
    <w:rsid w:val="000E58D3"/>
    <w:rsid w:val="000E5BEC"/>
    <w:rsid w:val="000E5DF9"/>
    <w:rsid w:val="000F0221"/>
    <w:rsid w:val="000F08D0"/>
    <w:rsid w:val="000F0D7E"/>
    <w:rsid w:val="000F0E52"/>
    <w:rsid w:val="000F1151"/>
    <w:rsid w:val="000F12B8"/>
    <w:rsid w:val="000F1FD4"/>
    <w:rsid w:val="000F2B79"/>
    <w:rsid w:val="000F2D2D"/>
    <w:rsid w:val="000F2D33"/>
    <w:rsid w:val="000F31BD"/>
    <w:rsid w:val="000F3389"/>
    <w:rsid w:val="000F3939"/>
    <w:rsid w:val="000F3F87"/>
    <w:rsid w:val="000F473B"/>
    <w:rsid w:val="000F4811"/>
    <w:rsid w:val="000F4944"/>
    <w:rsid w:val="000F5644"/>
    <w:rsid w:val="000F61BF"/>
    <w:rsid w:val="000F6305"/>
    <w:rsid w:val="000F7421"/>
    <w:rsid w:val="000F75F9"/>
    <w:rsid w:val="000F768E"/>
    <w:rsid w:val="000F796C"/>
    <w:rsid w:val="000F7A10"/>
    <w:rsid w:val="000F7DA5"/>
    <w:rsid w:val="001001EF"/>
    <w:rsid w:val="0010037D"/>
    <w:rsid w:val="00101138"/>
    <w:rsid w:val="00102606"/>
    <w:rsid w:val="0010366C"/>
    <w:rsid w:val="00104535"/>
    <w:rsid w:val="00104CB6"/>
    <w:rsid w:val="00106220"/>
    <w:rsid w:val="001065CA"/>
    <w:rsid w:val="0010740F"/>
    <w:rsid w:val="001074B4"/>
    <w:rsid w:val="001074C4"/>
    <w:rsid w:val="00107504"/>
    <w:rsid w:val="00107857"/>
    <w:rsid w:val="00107911"/>
    <w:rsid w:val="001106F0"/>
    <w:rsid w:val="00110B93"/>
    <w:rsid w:val="00110C65"/>
    <w:rsid w:val="00111360"/>
    <w:rsid w:val="00111580"/>
    <w:rsid w:val="0011165E"/>
    <w:rsid w:val="001122EB"/>
    <w:rsid w:val="001123A1"/>
    <w:rsid w:val="001131F2"/>
    <w:rsid w:val="00114946"/>
    <w:rsid w:val="001149AA"/>
    <w:rsid w:val="00114DA5"/>
    <w:rsid w:val="00114EAF"/>
    <w:rsid w:val="00115095"/>
    <w:rsid w:val="00115B60"/>
    <w:rsid w:val="00115C7B"/>
    <w:rsid w:val="0011608F"/>
    <w:rsid w:val="001169E8"/>
    <w:rsid w:val="00116FE6"/>
    <w:rsid w:val="001170C3"/>
    <w:rsid w:val="0011712E"/>
    <w:rsid w:val="0011793A"/>
    <w:rsid w:val="00117E84"/>
    <w:rsid w:val="00120160"/>
    <w:rsid w:val="001208C5"/>
    <w:rsid w:val="00121AED"/>
    <w:rsid w:val="00121D07"/>
    <w:rsid w:val="00121D83"/>
    <w:rsid w:val="0012230F"/>
    <w:rsid w:val="001225D0"/>
    <w:rsid w:val="00122875"/>
    <w:rsid w:val="00122B22"/>
    <w:rsid w:val="00122BC2"/>
    <w:rsid w:val="001234FA"/>
    <w:rsid w:val="00123800"/>
    <w:rsid w:val="001256E6"/>
    <w:rsid w:val="001256EF"/>
    <w:rsid w:val="001259B4"/>
    <w:rsid w:val="00125B88"/>
    <w:rsid w:val="00125EB2"/>
    <w:rsid w:val="00125FA2"/>
    <w:rsid w:val="001267B3"/>
    <w:rsid w:val="00126DBF"/>
    <w:rsid w:val="00126E92"/>
    <w:rsid w:val="00127344"/>
    <w:rsid w:val="00127721"/>
    <w:rsid w:val="001278CA"/>
    <w:rsid w:val="00127BA0"/>
    <w:rsid w:val="0013000F"/>
    <w:rsid w:val="00130836"/>
    <w:rsid w:val="00130AC4"/>
    <w:rsid w:val="00130B92"/>
    <w:rsid w:val="00130E01"/>
    <w:rsid w:val="00130F10"/>
    <w:rsid w:val="00131163"/>
    <w:rsid w:val="00132888"/>
    <w:rsid w:val="00133C04"/>
    <w:rsid w:val="0013403E"/>
    <w:rsid w:val="00134E69"/>
    <w:rsid w:val="001352F6"/>
    <w:rsid w:val="00135761"/>
    <w:rsid w:val="00135C83"/>
    <w:rsid w:val="00136086"/>
    <w:rsid w:val="00136512"/>
    <w:rsid w:val="00136CF1"/>
    <w:rsid w:val="00136FCB"/>
    <w:rsid w:val="00137027"/>
    <w:rsid w:val="00137153"/>
    <w:rsid w:val="001371CA"/>
    <w:rsid w:val="0013778D"/>
    <w:rsid w:val="00137FF3"/>
    <w:rsid w:val="00140045"/>
    <w:rsid w:val="001409F1"/>
    <w:rsid w:val="00140A5A"/>
    <w:rsid w:val="001412B5"/>
    <w:rsid w:val="0014168E"/>
    <w:rsid w:val="00141991"/>
    <w:rsid w:val="00141BB4"/>
    <w:rsid w:val="00142AE7"/>
    <w:rsid w:val="00142B9F"/>
    <w:rsid w:val="00144F8D"/>
    <w:rsid w:val="00145193"/>
    <w:rsid w:val="001454B9"/>
    <w:rsid w:val="00145987"/>
    <w:rsid w:val="0014712F"/>
    <w:rsid w:val="0014734C"/>
    <w:rsid w:val="0014798D"/>
    <w:rsid w:val="00147E62"/>
    <w:rsid w:val="00150A86"/>
    <w:rsid w:val="00150C14"/>
    <w:rsid w:val="00150EB0"/>
    <w:rsid w:val="00151257"/>
    <w:rsid w:val="00151C17"/>
    <w:rsid w:val="00151EDF"/>
    <w:rsid w:val="00152201"/>
    <w:rsid w:val="00152451"/>
    <w:rsid w:val="00152B22"/>
    <w:rsid w:val="001532DA"/>
    <w:rsid w:val="00153964"/>
    <w:rsid w:val="001543BA"/>
    <w:rsid w:val="00154F1D"/>
    <w:rsid w:val="00156FD9"/>
    <w:rsid w:val="00157184"/>
    <w:rsid w:val="00157499"/>
    <w:rsid w:val="0015780E"/>
    <w:rsid w:val="00157930"/>
    <w:rsid w:val="0016035A"/>
    <w:rsid w:val="001604D7"/>
    <w:rsid w:val="001610C8"/>
    <w:rsid w:val="001611CC"/>
    <w:rsid w:val="001617F8"/>
    <w:rsid w:val="00161C96"/>
    <w:rsid w:val="00161D13"/>
    <w:rsid w:val="0016257B"/>
    <w:rsid w:val="00162EAE"/>
    <w:rsid w:val="00163041"/>
    <w:rsid w:val="00163831"/>
    <w:rsid w:val="00164347"/>
    <w:rsid w:val="00164797"/>
    <w:rsid w:val="00164ACF"/>
    <w:rsid w:val="001652FD"/>
    <w:rsid w:val="0016565B"/>
    <w:rsid w:val="00165675"/>
    <w:rsid w:val="00165A9B"/>
    <w:rsid w:val="00165DF7"/>
    <w:rsid w:val="00165F1A"/>
    <w:rsid w:val="00166277"/>
    <w:rsid w:val="001665BD"/>
    <w:rsid w:val="00166BE2"/>
    <w:rsid w:val="00166EBE"/>
    <w:rsid w:val="00167C78"/>
    <w:rsid w:val="00167D61"/>
    <w:rsid w:val="00167EEF"/>
    <w:rsid w:val="00167FA3"/>
    <w:rsid w:val="00170020"/>
    <w:rsid w:val="00170030"/>
    <w:rsid w:val="00170F83"/>
    <w:rsid w:val="00171111"/>
    <w:rsid w:val="0017197C"/>
    <w:rsid w:val="00171B74"/>
    <w:rsid w:val="00171D62"/>
    <w:rsid w:val="00172A27"/>
    <w:rsid w:val="00172C87"/>
    <w:rsid w:val="00173BD1"/>
    <w:rsid w:val="0017629A"/>
    <w:rsid w:val="00176ADE"/>
    <w:rsid w:val="00176C63"/>
    <w:rsid w:val="00176D78"/>
    <w:rsid w:val="001772B1"/>
    <w:rsid w:val="00177634"/>
    <w:rsid w:val="00177E93"/>
    <w:rsid w:val="0018148F"/>
    <w:rsid w:val="0018185C"/>
    <w:rsid w:val="00181D30"/>
    <w:rsid w:val="00181F71"/>
    <w:rsid w:val="00182814"/>
    <w:rsid w:val="00182CDD"/>
    <w:rsid w:val="00182E1C"/>
    <w:rsid w:val="00183277"/>
    <w:rsid w:val="001836E4"/>
    <w:rsid w:val="00183B1E"/>
    <w:rsid w:val="00183E40"/>
    <w:rsid w:val="001842C5"/>
    <w:rsid w:val="001843E6"/>
    <w:rsid w:val="00184E6F"/>
    <w:rsid w:val="00186248"/>
    <w:rsid w:val="00186670"/>
    <w:rsid w:val="00186998"/>
    <w:rsid w:val="00186E17"/>
    <w:rsid w:val="00186F6A"/>
    <w:rsid w:val="001872DF"/>
    <w:rsid w:val="00190E99"/>
    <w:rsid w:val="001910CF"/>
    <w:rsid w:val="00191342"/>
    <w:rsid w:val="0019308E"/>
    <w:rsid w:val="00193429"/>
    <w:rsid w:val="00193E67"/>
    <w:rsid w:val="0019484D"/>
    <w:rsid w:val="001959AE"/>
    <w:rsid w:val="00195F5F"/>
    <w:rsid w:val="00196540"/>
    <w:rsid w:val="00197353"/>
    <w:rsid w:val="00197467"/>
    <w:rsid w:val="0019789B"/>
    <w:rsid w:val="00197AAE"/>
    <w:rsid w:val="00197DFF"/>
    <w:rsid w:val="001A1C66"/>
    <w:rsid w:val="001A1D30"/>
    <w:rsid w:val="001A22AB"/>
    <w:rsid w:val="001A2511"/>
    <w:rsid w:val="001A2812"/>
    <w:rsid w:val="001A2DA7"/>
    <w:rsid w:val="001A30CB"/>
    <w:rsid w:val="001A3CD3"/>
    <w:rsid w:val="001A43C5"/>
    <w:rsid w:val="001A4EF7"/>
    <w:rsid w:val="001A5AE2"/>
    <w:rsid w:val="001A622E"/>
    <w:rsid w:val="001A62DF"/>
    <w:rsid w:val="001A6AA7"/>
    <w:rsid w:val="001A6DBD"/>
    <w:rsid w:val="001A7777"/>
    <w:rsid w:val="001A7E8F"/>
    <w:rsid w:val="001B23E0"/>
    <w:rsid w:val="001B302A"/>
    <w:rsid w:val="001B35E7"/>
    <w:rsid w:val="001B5185"/>
    <w:rsid w:val="001B51DB"/>
    <w:rsid w:val="001B6B1C"/>
    <w:rsid w:val="001B7042"/>
    <w:rsid w:val="001B711E"/>
    <w:rsid w:val="001B7226"/>
    <w:rsid w:val="001B73DE"/>
    <w:rsid w:val="001B7802"/>
    <w:rsid w:val="001B7EE3"/>
    <w:rsid w:val="001C03D3"/>
    <w:rsid w:val="001C06B4"/>
    <w:rsid w:val="001C0B99"/>
    <w:rsid w:val="001C16C7"/>
    <w:rsid w:val="001C17BF"/>
    <w:rsid w:val="001C1EE2"/>
    <w:rsid w:val="001C271C"/>
    <w:rsid w:val="001C2FB8"/>
    <w:rsid w:val="001C3290"/>
    <w:rsid w:val="001C3541"/>
    <w:rsid w:val="001C426B"/>
    <w:rsid w:val="001C42D1"/>
    <w:rsid w:val="001C43EB"/>
    <w:rsid w:val="001C4ADC"/>
    <w:rsid w:val="001C57F2"/>
    <w:rsid w:val="001C5C25"/>
    <w:rsid w:val="001C5D38"/>
    <w:rsid w:val="001C65B1"/>
    <w:rsid w:val="001C77A3"/>
    <w:rsid w:val="001C7A14"/>
    <w:rsid w:val="001C7BDF"/>
    <w:rsid w:val="001C7C9C"/>
    <w:rsid w:val="001C7F5C"/>
    <w:rsid w:val="001D0134"/>
    <w:rsid w:val="001D0926"/>
    <w:rsid w:val="001D217C"/>
    <w:rsid w:val="001D27CC"/>
    <w:rsid w:val="001D33F3"/>
    <w:rsid w:val="001D442D"/>
    <w:rsid w:val="001D57BF"/>
    <w:rsid w:val="001D5BC2"/>
    <w:rsid w:val="001D5EE5"/>
    <w:rsid w:val="001D5FDF"/>
    <w:rsid w:val="001D6897"/>
    <w:rsid w:val="001D6953"/>
    <w:rsid w:val="001D6A64"/>
    <w:rsid w:val="001D6F68"/>
    <w:rsid w:val="001D7262"/>
    <w:rsid w:val="001D72B7"/>
    <w:rsid w:val="001D74FC"/>
    <w:rsid w:val="001D7A1D"/>
    <w:rsid w:val="001D7F74"/>
    <w:rsid w:val="001E0931"/>
    <w:rsid w:val="001E0E3C"/>
    <w:rsid w:val="001E1155"/>
    <w:rsid w:val="001E121A"/>
    <w:rsid w:val="001E13AA"/>
    <w:rsid w:val="001E15D9"/>
    <w:rsid w:val="001E1F65"/>
    <w:rsid w:val="001E28BE"/>
    <w:rsid w:val="001E310D"/>
    <w:rsid w:val="001E37A5"/>
    <w:rsid w:val="001E4BD1"/>
    <w:rsid w:val="001E55CC"/>
    <w:rsid w:val="001E5650"/>
    <w:rsid w:val="001E58C1"/>
    <w:rsid w:val="001E6F23"/>
    <w:rsid w:val="001E70F7"/>
    <w:rsid w:val="001E79AF"/>
    <w:rsid w:val="001F0133"/>
    <w:rsid w:val="001F0689"/>
    <w:rsid w:val="001F087B"/>
    <w:rsid w:val="001F105F"/>
    <w:rsid w:val="001F217F"/>
    <w:rsid w:val="001F24E3"/>
    <w:rsid w:val="001F2625"/>
    <w:rsid w:val="001F2727"/>
    <w:rsid w:val="001F321B"/>
    <w:rsid w:val="001F342E"/>
    <w:rsid w:val="001F442F"/>
    <w:rsid w:val="001F44F8"/>
    <w:rsid w:val="001F4539"/>
    <w:rsid w:val="001F5180"/>
    <w:rsid w:val="001F5442"/>
    <w:rsid w:val="001F5A90"/>
    <w:rsid w:val="001F5A91"/>
    <w:rsid w:val="001F62FA"/>
    <w:rsid w:val="001F7462"/>
    <w:rsid w:val="001F7E7F"/>
    <w:rsid w:val="002004D2"/>
    <w:rsid w:val="002015FE"/>
    <w:rsid w:val="00201E8A"/>
    <w:rsid w:val="0020204C"/>
    <w:rsid w:val="002024EA"/>
    <w:rsid w:val="0020287B"/>
    <w:rsid w:val="00202F75"/>
    <w:rsid w:val="00203010"/>
    <w:rsid w:val="00203230"/>
    <w:rsid w:val="00203286"/>
    <w:rsid w:val="002040AC"/>
    <w:rsid w:val="002043D8"/>
    <w:rsid w:val="0020462A"/>
    <w:rsid w:val="00204BAA"/>
    <w:rsid w:val="00205033"/>
    <w:rsid w:val="00206907"/>
    <w:rsid w:val="00206AD9"/>
    <w:rsid w:val="00206E44"/>
    <w:rsid w:val="0021097B"/>
    <w:rsid w:val="00210FEB"/>
    <w:rsid w:val="00211D8A"/>
    <w:rsid w:val="002123F6"/>
    <w:rsid w:val="00212A8C"/>
    <w:rsid w:val="0021342C"/>
    <w:rsid w:val="002138D2"/>
    <w:rsid w:val="002139C7"/>
    <w:rsid w:val="00213BFE"/>
    <w:rsid w:val="00214735"/>
    <w:rsid w:val="00214A6D"/>
    <w:rsid w:val="002153AE"/>
    <w:rsid w:val="00215747"/>
    <w:rsid w:val="00215FCD"/>
    <w:rsid w:val="00216621"/>
    <w:rsid w:val="00216C9A"/>
    <w:rsid w:val="00217507"/>
    <w:rsid w:val="00217627"/>
    <w:rsid w:val="0022153F"/>
    <w:rsid w:val="00221BE7"/>
    <w:rsid w:val="00221E8A"/>
    <w:rsid w:val="002228CF"/>
    <w:rsid w:val="00222F6C"/>
    <w:rsid w:val="00222FE4"/>
    <w:rsid w:val="002236E3"/>
    <w:rsid w:val="00223C8D"/>
    <w:rsid w:val="00224047"/>
    <w:rsid w:val="00224424"/>
    <w:rsid w:val="00225727"/>
    <w:rsid w:val="00227146"/>
    <w:rsid w:val="002274EE"/>
    <w:rsid w:val="002276BC"/>
    <w:rsid w:val="00227975"/>
    <w:rsid w:val="00227CDB"/>
    <w:rsid w:val="00230AAF"/>
    <w:rsid w:val="002321F6"/>
    <w:rsid w:val="002322E3"/>
    <w:rsid w:val="00232389"/>
    <w:rsid w:val="00232867"/>
    <w:rsid w:val="00232CD9"/>
    <w:rsid w:val="002330A8"/>
    <w:rsid w:val="002334F3"/>
    <w:rsid w:val="00235590"/>
    <w:rsid w:val="00235AB3"/>
    <w:rsid w:val="00235DCB"/>
    <w:rsid w:val="0023683F"/>
    <w:rsid w:val="00236937"/>
    <w:rsid w:val="00237425"/>
    <w:rsid w:val="002374C8"/>
    <w:rsid w:val="0024077C"/>
    <w:rsid w:val="00240BA2"/>
    <w:rsid w:val="00242090"/>
    <w:rsid w:val="00242763"/>
    <w:rsid w:val="0024292E"/>
    <w:rsid w:val="002430ED"/>
    <w:rsid w:val="00243763"/>
    <w:rsid w:val="00243D31"/>
    <w:rsid w:val="00243F34"/>
    <w:rsid w:val="002448C4"/>
    <w:rsid w:val="0024505A"/>
    <w:rsid w:val="00245061"/>
    <w:rsid w:val="0024583D"/>
    <w:rsid w:val="00246455"/>
    <w:rsid w:val="00246654"/>
    <w:rsid w:val="002466D9"/>
    <w:rsid w:val="00246D5B"/>
    <w:rsid w:val="00247BD6"/>
    <w:rsid w:val="00247D3F"/>
    <w:rsid w:val="00247E5C"/>
    <w:rsid w:val="002510D8"/>
    <w:rsid w:val="00251629"/>
    <w:rsid w:val="00251B24"/>
    <w:rsid w:val="00251D87"/>
    <w:rsid w:val="0025206F"/>
    <w:rsid w:val="002521ED"/>
    <w:rsid w:val="00253140"/>
    <w:rsid w:val="0025433F"/>
    <w:rsid w:val="00254350"/>
    <w:rsid w:val="002545BF"/>
    <w:rsid w:val="002558E0"/>
    <w:rsid w:val="00255C50"/>
    <w:rsid w:val="00255F99"/>
    <w:rsid w:val="002562A8"/>
    <w:rsid w:val="00256448"/>
    <w:rsid w:val="00257080"/>
    <w:rsid w:val="00257487"/>
    <w:rsid w:val="00257AEB"/>
    <w:rsid w:val="00260374"/>
    <w:rsid w:val="00260661"/>
    <w:rsid w:val="0026135E"/>
    <w:rsid w:val="00261C41"/>
    <w:rsid w:val="002621C5"/>
    <w:rsid w:val="002623CB"/>
    <w:rsid w:val="002629C5"/>
    <w:rsid w:val="00262B0F"/>
    <w:rsid w:val="00262D75"/>
    <w:rsid w:val="00263684"/>
    <w:rsid w:val="00263CF2"/>
    <w:rsid w:val="00264653"/>
    <w:rsid w:val="00264A1E"/>
    <w:rsid w:val="0026579E"/>
    <w:rsid w:val="00265B1C"/>
    <w:rsid w:val="00265B58"/>
    <w:rsid w:val="00266072"/>
    <w:rsid w:val="0026611D"/>
    <w:rsid w:val="00266371"/>
    <w:rsid w:val="00266805"/>
    <w:rsid w:val="00267446"/>
    <w:rsid w:val="002675AD"/>
    <w:rsid w:val="00267657"/>
    <w:rsid w:val="00267844"/>
    <w:rsid w:val="00267D79"/>
    <w:rsid w:val="00270AA7"/>
    <w:rsid w:val="00270C1A"/>
    <w:rsid w:val="00271218"/>
    <w:rsid w:val="00271485"/>
    <w:rsid w:val="0027192E"/>
    <w:rsid w:val="00271C25"/>
    <w:rsid w:val="00271FCB"/>
    <w:rsid w:val="00272242"/>
    <w:rsid w:val="00272BE0"/>
    <w:rsid w:val="00272D82"/>
    <w:rsid w:val="00273268"/>
    <w:rsid w:val="002732C2"/>
    <w:rsid w:val="002733FB"/>
    <w:rsid w:val="002739FA"/>
    <w:rsid w:val="00274552"/>
    <w:rsid w:val="0027461A"/>
    <w:rsid w:val="00274A5F"/>
    <w:rsid w:val="00274E38"/>
    <w:rsid w:val="00274E49"/>
    <w:rsid w:val="00275C47"/>
    <w:rsid w:val="00275D10"/>
    <w:rsid w:val="00275FA6"/>
    <w:rsid w:val="00276192"/>
    <w:rsid w:val="00276BAF"/>
    <w:rsid w:val="00276D18"/>
    <w:rsid w:val="00276F8C"/>
    <w:rsid w:val="00277163"/>
    <w:rsid w:val="00277775"/>
    <w:rsid w:val="002800E1"/>
    <w:rsid w:val="00280783"/>
    <w:rsid w:val="00280E25"/>
    <w:rsid w:val="00280F58"/>
    <w:rsid w:val="00281496"/>
    <w:rsid w:val="00281567"/>
    <w:rsid w:val="00281C17"/>
    <w:rsid w:val="002820DF"/>
    <w:rsid w:val="00282310"/>
    <w:rsid w:val="00282808"/>
    <w:rsid w:val="0028386F"/>
    <w:rsid w:val="00283A3D"/>
    <w:rsid w:val="00284838"/>
    <w:rsid w:val="00284DFE"/>
    <w:rsid w:val="0028537D"/>
    <w:rsid w:val="00285949"/>
    <w:rsid w:val="0028598A"/>
    <w:rsid w:val="00285ACA"/>
    <w:rsid w:val="00285D73"/>
    <w:rsid w:val="00285F19"/>
    <w:rsid w:val="00285F52"/>
    <w:rsid w:val="002863BF"/>
    <w:rsid w:val="00286BF0"/>
    <w:rsid w:val="00287178"/>
    <w:rsid w:val="0029006F"/>
    <w:rsid w:val="002904D0"/>
    <w:rsid w:val="002907D6"/>
    <w:rsid w:val="00290A8E"/>
    <w:rsid w:val="00290CCA"/>
    <w:rsid w:val="00290DB1"/>
    <w:rsid w:val="00290DBC"/>
    <w:rsid w:val="0029140F"/>
    <w:rsid w:val="00291535"/>
    <w:rsid w:val="002918D6"/>
    <w:rsid w:val="00291D1C"/>
    <w:rsid w:val="00292605"/>
    <w:rsid w:val="00292624"/>
    <w:rsid w:val="00292B63"/>
    <w:rsid w:val="00292CEF"/>
    <w:rsid w:val="00293112"/>
    <w:rsid w:val="00293356"/>
    <w:rsid w:val="0029352B"/>
    <w:rsid w:val="00293847"/>
    <w:rsid w:val="00293D4D"/>
    <w:rsid w:val="0029414E"/>
    <w:rsid w:val="00294219"/>
    <w:rsid w:val="0029443F"/>
    <w:rsid w:val="00294584"/>
    <w:rsid w:val="00294C0E"/>
    <w:rsid w:val="002952CA"/>
    <w:rsid w:val="00295802"/>
    <w:rsid w:val="00295818"/>
    <w:rsid w:val="00295EF1"/>
    <w:rsid w:val="00296600"/>
    <w:rsid w:val="002968AC"/>
    <w:rsid w:val="002971C9"/>
    <w:rsid w:val="002A01DC"/>
    <w:rsid w:val="002A0BF6"/>
    <w:rsid w:val="002A1193"/>
    <w:rsid w:val="002A14E0"/>
    <w:rsid w:val="002A16E1"/>
    <w:rsid w:val="002A2765"/>
    <w:rsid w:val="002A29A0"/>
    <w:rsid w:val="002A3151"/>
    <w:rsid w:val="002A5BF4"/>
    <w:rsid w:val="002A687C"/>
    <w:rsid w:val="002A690C"/>
    <w:rsid w:val="002A6B20"/>
    <w:rsid w:val="002A7440"/>
    <w:rsid w:val="002B04A7"/>
    <w:rsid w:val="002B12FF"/>
    <w:rsid w:val="002B1928"/>
    <w:rsid w:val="002B196D"/>
    <w:rsid w:val="002B1CD7"/>
    <w:rsid w:val="002B2262"/>
    <w:rsid w:val="002B4FD0"/>
    <w:rsid w:val="002B51CA"/>
    <w:rsid w:val="002B5251"/>
    <w:rsid w:val="002B55A2"/>
    <w:rsid w:val="002B5BD2"/>
    <w:rsid w:val="002B5E26"/>
    <w:rsid w:val="002B636A"/>
    <w:rsid w:val="002B735F"/>
    <w:rsid w:val="002B746B"/>
    <w:rsid w:val="002B766E"/>
    <w:rsid w:val="002B78F2"/>
    <w:rsid w:val="002C03FD"/>
    <w:rsid w:val="002C13B3"/>
    <w:rsid w:val="002C1483"/>
    <w:rsid w:val="002C15AD"/>
    <w:rsid w:val="002C1DB9"/>
    <w:rsid w:val="002C1FC6"/>
    <w:rsid w:val="002C2436"/>
    <w:rsid w:val="002C248D"/>
    <w:rsid w:val="002C280A"/>
    <w:rsid w:val="002C3178"/>
    <w:rsid w:val="002C40B2"/>
    <w:rsid w:val="002C4EB9"/>
    <w:rsid w:val="002C4F89"/>
    <w:rsid w:val="002C5137"/>
    <w:rsid w:val="002C535D"/>
    <w:rsid w:val="002C5377"/>
    <w:rsid w:val="002C64F7"/>
    <w:rsid w:val="002C6C32"/>
    <w:rsid w:val="002C6C4D"/>
    <w:rsid w:val="002C6F4C"/>
    <w:rsid w:val="002C744A"/>
    <w:rsid w:val="002C76F0"/>
    <w:rsid w:val="002D0100"/>
    <w:rsid w:val="002D01F5"/>
    <w:rsid w:val="002D0827"/>
    <w:rsid w:val="002D1147"/>
    <w:rsid w:val="002D2049"/>
    <w:rsid w:val="002D2496"/>
    <w:rsid w:val="002D25AF"/>
    <w:rsid w:val="002D2D58"/>
    <w:rsid w:val="002D2EEC"/>
    <w:rsid w:val="002D3245"/>
    <w:rsid w:val="002D3A53"/>
    <w:rsid w:val="002D528C"/>
    <w:rsid w:val="002D52E9"/>
    <w:rsid w:val="002D5C1B"/>
    <w:rsid w:val="002D5E75"/>
    <w:rsid w:val="002D62AB"/>
    <w:rsid w:val="002D6F5A"/>
    <w:rsid w:val="002D76D6"/>
    <w:rsid w:val="002D7EF2"/>
    <w:rsid w:val="002E0020"/>
    <w:rsid w:val="002E0E0F"/>
    <w:rsid w:val="002E0ECA"/>
    <w:rsid w:val="002E157A"/>
    <w:rsid w:val="002E2810"/>
    <w:rsid w:val="002E28C4"/>
    <w:rsid w:val="002E3ACD"/>
    <w:rsid w:val="002E3B5E"/>
    <w:rsid w:val="002E3E33"/>
    <w:rsid w:val="002E4587"/>
    <w:rsid w:val="002E4BD3"/>
    <w:rsid w:val="002E4C6C"/>
    <w:rsid w:val="002E539F"/>
    <w:rsid w:val="002E54E6"/>
    <w:rsid w:val="002E5B9A"/>
    <w:rsid w:val="002E6C9A"/>
    <w:rsid w:val="002E6D3F"/>
    <w:rsid w:val="002E6E66"/>
    <w:rsid w:val="002E6F21"/>
    <w:rsid w:val="002E763D"/>
    <w:rsid w:val="002E7AE3"/>
    <w:rsid w:val="002E7E9A"/>
    <w:rsid w:val="002F0752"/>
    <w:rsid w:val="002F09EC"/>
    <w:rsid w:val="002F16CB"/>
    <w:rsid w:val="002F1AA4"/>
    <w:rsid w:val="002F1DFB"/>
    <w:rsid w:val="002F210F"/>
    <w:rsid w:val="002F2469"/>
    <w:rsid w:val="002F2C3B"/>
    <w:rsid w:val="002F31AC"/>
    <w:rsid w:val="002F34B8"/>
    <w:rsid w:val="002F3980"/>
    <w:rsid w:val="002F39BD"/>
    <w:rsid w:val="002F426A"/>
    <w:rsid w:val="002F4EFF"/>
    <w:rsid w:val="002F5BDA"/>
    <w:rsid w:val="002F5C73"/>
    <w:rsid w:val="002F7692"/>
    <w:rsid w:val="002F7C53"/>
    <w:rsid w:val="00300613"/>
    <w:rsid w:val="003011D6"/>
    <w:rsid w:val="00301A33"/>
    <w:rsid w:val="00301B4E"/>
    <w:rsid w:val="00301B9A"/>
    <w:rsid w:val="003020DD"/>
    <w:rsid w:val="00302293"/>
    <w:rsid w:val="003024E8"/>
    <w:rsid w:val="003025C4"/>
    <w:rsid w:val="0030299F"/>
    <w:rsid w:val="00302ED4"/>
    <w:rsid w:val="00303FB0"/>
    <w:rsid w:val="00304BA3"/>
    <w:rsid w:val="00304BD0"/>
    <w:rsid w:val="00304C2F"/>
    <w:rsid w:val="003061E9"/>
    <w:rsid w:val="003068B6"/>
    <w:rsid w:val="00306982"/>
    <w:rsid w:val="00306BBB"/>
    <w:rsid w:val="00307155"/>
    <w:rsid w:val="0030723A"/>
    <w:rsid w:val="00310893"/>
    <w:rsid w:val="00310B2A"/>
    <w:rsid w:val="00310CF8"/>
    <w:rsid w:val="00311821"/>
    <w:rsid w:val="003119B5"/>
    <w:rsid w:val="003120F2"/>
    <w:rsid w:val="003128E6"/>
    <w:rsid w:val="00313052"/>
    <w:rsid w:val="00313292"/>
    <w:rsid w:val="00313464"/>
    <w:rsid w:val="0031373E"/>
    <w:rsid w:val="003137AE"/>
    <w:rsid w:val="00313959"/>
    <w:rsid w:val="00314F5F"/>
    <w:rsid w:val="003158B7"/>
    <w:rsid w:val="003158ED"/>
    <w:rsid w:val="0031637B"/>
    <w:rsid w:val="00316437"/>
    <w:rsid w:val="003168BE"/>
    <w:rsid w:val="00316FF1"/>
    <w:rsid w:val="00317F06"/>
    <w:rsid w:val="00317FB1"/>
    <w:rsid w:val="003202F9"/>
    <w:rsid w:val="00320649"/>
    <w:rsid w:val="00321350"/>
    <w:rsid w:val="00321600"/>
    <w:rsid w:val="003216D6"/>
    <w:rsid w:val="003217C4"/>
    <w:rsid w:val="003219C2"/>
    <w:rsid w:val="00321F8D"/>
    <w:rsid w:val="00322269"/>
    <w:rsid w:val="003223A8"/>
    <w:rsid w:val="003228E1"/>
    <w:rsid w:val="00322DF5"/>
    <w:rsid w:val="00323734"/>
    <w:rsid w:val="0032408D"/>
    <w:rsid w:val="003242FA"/>
    <w:rsid w:val="00324915"/>
    <w:rsid w:val="00324DC3"/>
    <w:rsid w:val="003251DA"/>
    <w:rsid w:val="0032666C"/>
    <w:rsid w:val="00326C24"/>
    <w:rsid w:val="003278DB"/>
    <w:rsid w:val="003279EB"/>
    <w:rsid w:val="003301FF"/>
    <w:rsid w:val="00330385"/>
    <w:rsid w:val="0033194B"/>
    <w:rsid w:val="003319D9"/>
    <w:rsid w:val="003324BD"/>
    <w:rsid w:val="003326A0"/>
    <w:rsid w:val="00332B78"/>
    <w:rsid w:val="00332CC7"/>
    <w:rsid w:val="00332D66"/>
    <w:rsid w:val="003335A5"/>
    <w:rsid w:val="00333A3D"/>
    <w:rsid w:val="00335358"/>
    <w:rsid w:val="00335A09"/>
    <w:rsid w:val="00335FA0"/>
    <w:rsid w:val="00336359"/>
    <w:rsid w:val="00336629"/>
    <w:rsid w:val="00336B33"/>
    <w:rsid w:val="00336CEA"/>
    <w:rsid w:val="00336FC9"/>
    <w:rsid w:val="003370BC"/>
    <w:rsid w:val="00337142"/>
    <w:rsid w:val="003379DC"/>
    <w:rsid w:val="00337CE2"/>
    <w:rsid w:val="0034045A"/>
    <w:rsid w:val="00340CB4"/>
    <w:rsid w:val="00341147"/>
    <w:rsid w:val="003415E1"/>
    <w:rsid w:val="00341817"/>
    <w:rsid w:val="00341937"/>
    <w:rsid w:val="00341F18"/>
    <w:rsid w:val="003420A0"/>
    <w:rsid w:val="00342AE4"/>
    <w:rsid w:val="0034346B"/>
    <w:rsid w:val="00343513"/>
    <w:rsid w:val="003435A3"/>
    <w:rsid w:val="0034572D"/>
    <w:rsid w:val="00345D38"/>
    <w:rsid w:val="00345F0E"/>
    <w:rsid w:val="00346026"/>
    <w:rsid w:val="003461F8"/>
    <w:rsid w:val="00347C9E"/>
    <w:rsid w:val="003500A0"/>
    <w:rsid w:val="00350781"/>
    <w:rsid w:val="00350D20"/>
    <w:rsid w:val="00351426"/>
    <w:rsid w:val="00352162"/>
    <w:rsid w:val="00352889"/>
    <w:rsid w:val="00353605"/>
    <w:rsid w:val="00353A57"/>
    <w:rsid w:val="00353DFF"/>
    <w:rsid w:val="00355001"/>
    <w:rsid w:val="00355456"/>
    <w:rsid w:val="00355591"/>
    <w:rsid w:val="003558AB"/>
    <w:rsid w:val="00356293"/>
    <w:rsid w:val="00356E41"/>
    <w:rsid w:val="0035712B"/>
    <w:rsid w:val="00360179"/>
    <w:rsid w:val="00360435"/>
    <w:rsid w:val="00360F33"/>
    <w:rsid w:val="00361E3A"/>
    <w:rsid w:val="003623BB"/>
    <w:rsid w:val="00363402"/>
    <w:rsid w:val="003636AF"/>
    <w:rsid w:val="003645BD"/>
    <w:rsid w:val="0036524E"/>
    <w:rsid w:val="0036546F"/>
    <w:rsid w:val="003660B6"/>
    <w:rsid w:val="00366631"/>
    <w:rsid w:val="00366D1E"/>
    <w:rsid w:val="00366E06"/>
    <w:rsid w:val="0036798A"/>
    <w:rsid w:val="003723C4"/>
    <w:rsid w:val="003724A4"/>
    <w:rsid w:val="0037347E"/>
    <w:rsid w:val="00373D4A"/>
    <w:rsid w:val="0037422A"/>
    <w:rsid w:val="00374399"/>
    <w:rsid w:val="00374773"/>
    <w:rsid w:val="00374B5E"/>
    <w:rsid w:val="00374CAE"/>
    <w:rsid w:val="003750B7"/>
    <w:rsid w:val="00375227"/>
    <w:rsid w:val="00375781"/>
    <w:rsid w:val="00375D04"/>
    <w:rsid w:val="00375ED1"/>
    <w:rsid w:val="00376DB8"/>
    <w:rsid w:val="003800B5"/>
    <w:rsid w:val="00380406"/>
    <w:rsid w:val="0038045B"/>
    <w:rsid w:val="00380681"/>
    <w:rsid w:val="00380A96"/>
    <w:rsid w:val="00380CBA"/>
    <w:rsid w:val="00380F32"/>
    <w:rsid w:val="00381449"/>
    <w:rsid w:val="003818CF"/>
    <w:rsid w:val="00381CFE"/>
    <w:rsid w:val="0038267C"/>
    <w:rsid w:val="00382D5F"/>
    <w:rsid w:val="00383879"/>
    <w:rsid w:val="00383FF9"/>
    <w:rsid w:val="00384F53"/>
    <w:rsid w:val="00385EC7"/>
    <w:rsid w:val="003863AE"/>
    <w:rsid w:val="00386574"/>
    <w:rsid w:val="0038660A"/>
    <w:rsid w:val="00387A17"/>
    <w:rsid w:val="00387C41"/>
    <w:rsid w:val="00390B16"/>
    <w:rsid w:val="00391268"/>
    <w:rsid w:val="00391ACD"/>
    <w:rsid w:val="00391D24"/>
    <w:rsid w:val="003928FE"/>
    <w:rsid w:val="00392A71"/>
    <w:rsid w:val="00392CF6"/>
    <w:rsid w:val="00392E7A"/>
    <w:rsid w:val="003933E1"/>
    <w:rsid w:val="00393EA5"/>
    <w:rsid w:val="00394097"/>
    <w:rsid w:val="00394A1D"/>
    <w:rsid w:val="00394BD3"/>
    <w:rsid w:val="00394E6F"/>
    <w:rsid w:val="00394EA0"/>
    <w:rsid w:val="003950F9"/>
    <w:rsid w:val="003953D4"/>
    <w:rsid w:val="0039565E"/>
    <w:rsid w:val="00396777"/>
    <w:rsid w:val="00396C97"/>
    <w:rsid w:val="00396E5D"/>
    <w:rsid w:val="003A174B"/>
    <w:rsid w:val="003A198E"/>
    <w:rsid w:val="003A1C2C"/>
    <w:rsid w:val="003A1D69"/>
    <w:rsid w:val="003A22DC"/>
    <w:rsid w:val="003A25E5"/>
    <w:rsid w:val="003A2EAC"/>
    <w:rsid w:val="003A307C"/>
    <w:rsid w:val="003A3D9D"/>
    <w:rsid w:val="003A3FD6"/>
    <w:rsid w:val="003A439B"/>
    <w:rsid w:val="003A45F7"/>
    <w:rsid w:val="003A500F"/>
    <w:rsid w:val="003A56FD"/>
    <w:rsid w:val="003A587D"/>
    <w:rsid w:val="003A5C93"/>
    <w:rsid w:val="003A5CB0"/>
    <w:rsid w:val="003A6027"/>
    <w:rsid w:val="003A6143"/>
    <w:rsid w:val="003A7C48"/>
    <w:rsid w:val="003B02FC"/>
    <w:rsid w:val="003B0A47"/>
    <w:rsid w:val="003B0B47"/>
    <w:rsid w:val="003B1021"/>
    <w:rsid w:val="003B1391"/>
    <w:rsid w:val="003B1A80"/>
    <w:rsid w:val="003B1B0F"/>
    <w:rsid w:val="003B1B8E"/>
    <w:rsid w:val="003B1D01"/>
    <w:rsid w:val="003B32C9"/>
    <w:rsid w:val="003B3DAC"/>
    <w:rsid w:val="003B4DAF"/>
    <w:rsid w:val="003B4EC9"/>
    <w:rsid w:val="003B4FC4"/>
    <w:rsid w:val="003B5E3E"/>
    <w:rsid w:val="003B5EDE"/>
    <w:rsid w:val="003B6AA8"/>
    <w:rsid w:val="003B6B8D"/>
    <w:rsid w:val="003B7090"/>
    <w:rsid w:val="003B7667"/>
    <w:rsid w:val="003B78F7"/>
    <w:rsid w:val="003B7B80"/>
    <w:rsid w:val="003B7ED3"/>
    <w:rsid w:val="003B7F16"/>
    <w:rsid w:val="003C00DF"/>
    <w:rsid w:val="003C0A9D"/>
    <w:rsid w:val="003C0BE0"/>
    <w:rsid w:val="003C0FCE"/>
    <w:rsid w:val="003C1636"/>
    <w:rsid w:val="003C1CD0"/>
    <w:rsid w:val="003C1DC2"/>
    <w:rsid w:val="003C1FD8"/>
    <w:rsid w:val="003C27A7"/>
    <w:rsid w:val="003C34D7"/>
    <w:rsid w:val="003C34E2"/>
    <w:rsid w:val="003C34F2"/>
    <w:rsid w:val="003C359F"/>
    <w:rsid w:val="003C362A"/>
    <w:rsid w:val="003C4D9C"/>
    <w:rsid w:val="003C501C"/>
    <w:rsid w:val="003C6001"/>
    <w:rsid w:val="003C617F"/>
    <w:rsid w:val="003C6504"/>
    <w:rsid w:val="003C6F2A"/>
    <w:rsid w:val="003D008D"/>
    <w:rsid w:val="003D0EBD"/>
    <w:rsid w:val="003D131F"/>
    <w:rsid w:val="003D157F"/>
    <w:rsid w:val="003D18D6"/>
    <w:rsid w:val="003D24A5"/>
    <w:rsid w:val="003D2854"/>
    <w:rsid w:val="003D3A6B"/>
    <w:rsid w:val="003D4D59"/>
    <w:rsid w:val="003D4F4C"/>
    <w:rsid w:val="003D5383"/>
    <w:rsid w:val="003D5855"/>
    <w:rsid w:val="003D592F"/>
    <w:rsid w:val="003D5944"/>
    <w:rsid w:val="003D5BE7"/>
    <w:rsid w:val="003D5EEC"/>
    <w:rsid w:val="003D64C4"/>
    <w:rsid w:val="003D64F9"/>
    <w:rsid w:val="003D6738"/>
    <w:rsid w:val="003D7193"/>
    <w:rsid w:val="003D764A"/>
    <w:rsid w:val="003E0033"/>
    <w:rsid w:val="003E0D80"/>
    <w:rsid w:val="003E112C"/>
    <w:rsid w:val="003E1325"/>
    <w:rsid w:val="003E1F3F"/>
    <w:rsid w:val="003E26B9"/>
    <w:rsid w:val="003E3806"/>
    <w:rsid w:val="003E3BA6"/>
    <w:rsid w:val="003E4130"/>
    <w:rsid w:val="003E4D50"/>
    <w:rsid w:val="003E5056"/>
    <w:rsid w:val="003E541E"/>
    <w:rsid w:val="003E5F11"/>
    <w:rsid w:val="003E681F"/>
    <w:rsid w:val="003E74E5"/>
    <w:rsid w:val="003E7673"/>
    <w:rsid w:val="003F0286"/>
    <w:rsid w:val="003F11DA"/>
    <w:rsid w:val="003F1AF3"/>
    <w:rsid w:val="003F1C18"/>
    <w:rsid w:val="003F2217"/>
    <w:rsid w:val="003F2DCD"/>
    <w:rsid w:val="003F2F63"/>
    <w:rsid w:val="003F340B"/>
    <w:rsid w:val="003F3786"/>
    <w:rsid w:val="003F38FA"/>
    <w:rsid w:val="003F3C92"/>
    <w:rsid w:val="003F3F32"/>
    <w:rsid w:val="003F42A0"/>
    <w:rsid w:val="003F4ADA"/>
    <w:rsid w:val="003F4D3E"/>
    <w:rsid w:val="003F4F40"/>
    <w:rsid w:val="003F53CD"/>
    <w:rsid w:val="003F55E6"/>
    <w:rsid w:val="003F5931"/>
    <w:rsid w:val="003F5AB1"/>
    <w:rsid w:val="003F6047"/>
    <w:rsid w:val="003F66F7"/>
    <w:rsid w:val="003F6C49"/>
    <w:rsid w:val="003F6FED"/>
    <w:rsid w:val="00400806"/>
    <w:rsid w:val="00400BC9"/>
    <w:rsid w:val="00400D6D"/>
    <w:rsid w:val="00400F94"/>
    <w:rsid w:val="004012A8"/>
    <w:rsid w:val="0040214B"/>
    <w:rsid w:val="004027CD"/>
    <w:rsid w:val="00402AD4"/>
    <w:rsid w:val="00402E78"/>
    <w:rsid w:val="00403F2B"/>
    <w:rsid w:val="00404297"/>
    <w:rsid w:val="004045F4"/>
    <w:rsid w:val="00404C05"/>
    <w:rsid w:val="00405AC7"/>
    <w:rsid w:val="00405BA9"/>
    <w:rsid w:val="00405C28"/>
    <w:rsid w:val="004070E5"/>
    <w:rsid w:val="004076B5"/>
    <w:rsid w:val="00407CA5"/>
    <w:rsid w:val="004111C9"/>
    <w:rsid w:val="00411474"/>
    <w:rsid w:val="004114A2"/>
    <w:rsid w:val="00411CDB"/>
    <w:rsid w:val="00413986"/>
    <w:rsid w:val="00413D58"/>
    <w:rsid w:val="00414F7C"/>
    <w:rsid w:val="0041505C"/>
    <w:rsid w:val="004154F0"/>
    <w:rsid w:val="0041556E"/>
    <w:rsid w:val="004159F8"/>
    <w:rsid w:val="00416605"/>
    <w:rsid w:val="00416712"/>
    <w:rsid w:val="00417E78"/>
    <w:rsid w:val="0042019E"/>
    <w:rsid w:val="004203EF"/>
    <w:rsid w:val="00420A00"/>
    <w:rsid w:val="00421406"/>
    <w:rsid w:val="0042164A"/>
    <w:rsid w:val="0042171F"/>
    <w:rsid w:val="00421E1A"/>
    <w:rsid w:val="004228BE"/>
    <w:rsid w:val="00422FE6"/>
    <w:rsid w:val="00423052"/>
    <w:rsid w:val="00423281"/>
    <w:rsid w:val="004242DF"/>
    <w:rsid w:val="00424BFC"/>
    <w:rsid w:val="00425E79"/>
    <w:rsid w:val="004260C4"/>
    <w:rsid w:val="00426844"/>
    <w:rsid w:val="00426BAC"/>
    <w:rsid w:val="00426FEE"/>
    <w:rsid w:val="004303A2"/>
    <w:rsid w:val="0043073A"/>
    <w:rsid w:val="004315E4"/>
    <w:rsid w:val="00431A2C"/>
    <w:rsid w:val="00431F3D"/>
    <w:rsid w:val="00432088"/>
    <w:rsid w:val="004329D5"/>
    <w:rsid w:val="00432A22"/>
    <w:rsid w:val="00432AAF"/>
    <w:rsid w:val="00432B97"/>
    <w:rsid w:val="00432D25"/>
    <w:rsid w:val="0043358D"/>
    <w:rsid w:val="00433FC7"/>
    <w:rsid w:val="004345FC"/>
    <w:rsid w:val="00434CB6"/>
    <w:rsid w:val="00435B96"/>
    <w:rsid w:val="00435C7C"/>
    <w:rsid w:val="0043606F"/>
    <w:rsid w:val="00436286"/>
    <w:rsid w:val="004377CD"/>
    <w:rsid w:val="004402EC"/>
    <w:rsid w:val="0044061D"/>
    <w:rsid w:val="0044077E"/>
    <w:rsid w:val="00440AFB"/>
    <w:rsid w:val="00441327"/>
    <w:rsid w:val="0044175C"/>
    <w:rsid w:val="00441838"/>
    <w:rsid w:val="004418DD"/>
    <w:rsid w:val="004419EB"/>
    <w:rsid w:val="00441DE2"/>
    <w:rsid w:val="00441E42"/>
    <w:rsid w:val="00441FF1"/>
    <w:rsid w:val="0044271A"/>
    <w:rsid w:val="00442789"/>
    <w:rsid w:val="00442ABF"/>
    <w:rsid w:val="00442CB7"/>
    <w:rsid w:val="00443092"/>
    <w:rsid w:val="004439D1"/>
    <w:rsid w:val="00443BA2"/>
    <w:rsid w:val="00444F22"/>
    <w:rsid w:val="00446D3C"/>
    <w:rsid w:val="00446DF3"/>
    <w:rsid w:val="00447271"/>
    <w:rsid w:val="00447925"/>
    <w:rsid w:val="00451888"/>
    <w:rsid w:val="00451E84"/>
    <w:rsid w:val="00452473"/>
    <w:rsid w:val="004525C2"/>
    <w:rsid w:val="004536A5"/>
    <w:rsid w:val="00453E0A"/>
    <w:rsid w:val="00453EB4"/>
    <w:rsid w:val="0045453F"/>
    <w:rsid w:val="00454AFD"/>
    <w:rsid w:val="004551AA"/>
    <w:rsid w:val="0045541B"/>
    <w:rsid w:val="0045551A"/>
    <w:rsid w:val="00455C49"/>
    <w:rsid w:val="00456469"/>
    <w:rsid w:val="004569C7"/>
    <w:rsid w:val="00456A47"/>
    <w:rsid w:val="0045755D"/>
    <w:rsid w:val="00457B3D"/>
    <w:rsid w:val="0046030E"/>
    <w:rsid w:val="00461309"/>
    <w:rsid w:val="00461332"/>
    <w:rsid w:val="00461A43"/>
    <w:rsid w:val="00461A8F"/>
    <w:rsid w:val="00461C93"/>
    <w:rsid w:val="004633D4"/>
    <w:rsid w:val="00463485"/>
    <w:rsid w:val="00463586"/>
    <w:rsid w:val="004636E9"/>
    <w:rsid w:val="00463AF4"/>
    <w:rsid w:val="00463CD3"/>
    <w:rsid w:val="00464A42"/>
    <w:rsid w:val="00464AE5"/>
    <w:rsid w:val="00464BD0"/>
    <w:rsid w:val="00465377"/>
    <w:rsid w:val="00465409"/>
    <w:rsid w:val="00465BD4"/>
    <w:rsid w:val="0046684F"/>
    <w:rsid w:val="00466FD9"/>
    <w:rsid w:val="004701F2"/>
    <w:rsid w:val="0047133F"/>
    <w:rsid w:val="004714C8"/>
    <w:rsid w:val="00471F3E"/>
    <w:rsid w:val="00472019"/>
    <w:rsid w:val="0047223F"/>
    <w:rsid w:val="0047256C"/>
    <w:rsid w:val="004729AB"/>
    <w:rsid w:val="004744E7"/>
    <w:rsid w:val="00474DA0"/>
    <w:rsid w:val="004754A6"/>
    <w:rsid w:val="0047569B"/>
    <w:rsid w:val="00476596"/>
    <w:rsid w:val="00476BE0"/>
    <w:rsid w:val="00476DD3"/>
    <w:rsid w:val="004777EF"/>
    <w:rsid w:val="00477B10"/>
    <w:rsid w:val="00480795"/>
    <w:rsid w:val="004808A0"/>
    <w:rsid w:val="00480CFD"/>
    <w:rsid w:val="004811A2"/>
    <w:rsid w:val="00481460"/>
    <w:rsid w:val="00481A13"/>
    <w:rsid w:val="00481B62"/>
    <w:rsid w:val="00481DFE"/>
    <w:rsid w:val="00481F15"/>
    <w:rsid w:val="00482831"/>
    <w:rsid w:val="00482A23"/>
    <w:rsid w:val="00482D1F"/>
    <w:rsid w:val="00483964"/>
    <w:rsid w:val="00483C45"/>
    <w:rsid w:val="00484984"/>
    <w:rsid w:val="00484FB4"/>
    <w:rsid w:val="00485126"/>
    <w:rsid w:val="00485BC5"/>
    <w:rsid w:val="004868C7"/>
    <w:rsid w:val="004869DC"/>
    <w:rsid w:val="00486E1A"/>
    <w:rsid w:val="00487081"/>
    <w:rsid w:val="004871BC"/>
    <w:rsid w:val="00487B5E"/>
    <w:rsid w:val="00487BFE"/>
    <w:rsid w:val="00487D55"/>
    <w:rsid w:val="0049048F"/>
    <w:rsid w:val="00490F42"/>
    <w:rsid w:val="0049132E"/>
    <w:rsid w:val="004923F9"/>
    <w:rsid w:val="004924E4"/>
    <w:rsid w:val="00492842"/>
    <w:rsid w:val="0049287E"/>
    <w:rsid w:val="00492F3A"/>
    <w:rsid w:val="00492F8D"/>
    <w:rsid w:val="00493623"/>
    <w:rsid w:val="00493FC5"/>
    <w:rsid w:val="004948B7"/>
    <w:rsid w:val="004954AF"/>
    <w:rsid w:val="00495658"/>
    <w:rsid w:val="00495B16"/>
    <w:rsid w:val="00496B20"/>
    <w:rsid w:val="00497334"/>
    <w:rsid w:val="00497421"/>
    <w:rsid w:val="00497DDB"/>
    <w:rsid w:val="00497F12"/>
    <w:rsid w:val="004A0131"/>
    <w:rsid w:val="004A1018"/>
    <w:rsid w:val="004A1251"/>
    <w:rsid w:val="004A187C"/>
    <w:rsid w:val="004A1B7C"/>
    <w:rsid w:val="004A36D0"/>
    <w:rsid w:val="004A3AD6"/>
    <w:rsid w:val="004A3D79"/>
    <w:rsid w:val="004A468E"/>
    <w:rsid w:val="004A507A"/>
    <w:rsid w:val="004A566D"/>
    <w:rsid w:val="004A5769"/>
    <w:rsid w:val="004A5BDB"/>
    <w:rsid w:val="004A60B5"/>
    <w:rsid w:val="004A6406"/>
    <w:rsid w:val="004A65F0"/>
    <w:rsid w:val="004A6931"/>
    <w:rsid w:val="004A6D92"/>
    <w:rsid w:val="004A7426"/>
    <w:rsid w:val="004A76CB"/>
    <w:rsid w:val="004A7F93"/>
    <w:rsid w:val="004B06FA"/>
    <w:rsid w:val="004B0C19"/>
    <w:rsid w:val="004B0FDE"/>
    <w:rsid w:val="004B1710"/>
    <w:rsid w:val="004B32B4"/>
    <w:rsid w:val="004B3A4D"/>
    <w:rsid w:val="004B3A66"/>
    <w:rsid w:val="004B4592"/>
    <w:rsid w:val="004B4B95"/>
    <w:rsid w:val="004B5826"/>
    <w:rsid w:val="004B5BC8"/>
    <w:rsid w:val="004B5D96"/>
    <w:rsid w:val="004B60FF"/>
    <w:rsid w:val="004B61C9"/>
    <w:rsid w:val="004B6382"/>
    <w:rsid w:val="004B652A"/>
    <w:rsid w:val="004B6734"/>
    <w:rsid w:val="004B6BF4"/>
    <w:rsid w:val="004B6EE6"/>
    <w:rsid w:val="004B777D"/>
    <w:rsid w:val="004B7AE3"/>
    <w:rsid w:val="004B7C8C"/>
    <w:rsid w:val="004C01B2"/>
    <w:rsid w:val="004C0974"/>
    <w:rsid w:val="004C0FCA"/>
    <w:rsid w:val="004C17F7"/>
    <w:rsid w:val="004C2278"/>
    <w:rsid w:val="004C26D4"/>
    <w:rsid w:val="004C3563"/>
    <w:rsid w:val="004C3FD3"/>
    <w:rsid w:val="004C439E"/>
    <w:rsid w:val="004C5A7F"/>
    <w:rsid w:val="004C6891"/>
    <w:rsid w:val="004C6C31"/>
    <w:rsid w:val="004C6E1F"/>
    <w:rsid w:val="004C6FCF"/>
    <w:rsid w:val="004C710A"/>
    <w:rsid w:val="004C73F7"/>
    <w:rsid w:val="004C780D"/>
    <w:rsid w:val="004C7B8D"/>
    <w:rsid w:val="004C7C49"/>
    <w:rsid w:val="004D0061"/>
    <w:rsid w:val="004D03E3"/>
    <w:rsid w:val="004D0638"/>
    <w:rsid w:val="004D1061"/>
    <w:rsid w:val="004D127F"/>
    <w:rsid w:val="004D16FA"/>
    <w:rsid w:val="004D1FEA"/>
    <w:rsid w:val="004D2944"/>
    <w:rsid w:val="004D3124"/>
    <w:rsid w:val="004D3DDB"/>
    <w:rsid w:val="004D4041"/>
    <w:rsid w:val="004D4818"/>
    <w:rsid w:val="004D4E34"/>
    <w:rsid w:val="004D55BB"/>
    <w:rsid w:val="004D5F26"/>
    <w:rsid w:val="004D5F45"/>
    <w:rsid w:val="004D7B52"/>
    <w:rsid w:val="004D7CF8"/>
    <w:rsid w:val="004D7DBF"/>
    <w:rsid w:val="004E0605"/>
    <w:rsid w:val="004E0863"/>
    <w:rsid w:val="004E0ADE"/>
    <w:rsid w:val="004E0C17"/>
    <w:rsid w:val="004E0CB5"/>
    <w:rsid w:val="004E1482"/>
    <w:rsid w:val="004E15C0"/>
    <w:rsid w:val="004E1EAE"/>
    <w:rsid w:val="004E2681"/>
    <w:rsid w:val="004E3C6D"/>
    <w:rsid w:val="004E4462"/>
    <w:rsid w:val="004E52B1"/>
    <w:rsid w:val="004E61F7"/>
    <w:rsid w:val="004E74DE"/>
    <w:rsid w:val="004E7858"/>
    <w:rsid w:val="004F043D"/>
    <w:rsid w:val="004F06F3"/>
    <w:rsid w:val="004F11BB"/>
    <w:rsid w:val="004F192B"/>
    <w:rsid w:val="004F2446"/>
    <w:rsid w:val="004F25FC"/>
    <w:rsid w:val="004F2DD6"/>
    <w:rsid w:val="004F2E05"/>
    <w:rsid w:val="004F32F2"/>
    <w:rsid w:val="004F3465"/>
    <w:rsid w:val="004F37DE"/>
    <w:rsid w:val="004F411D"/>
    <w:rsid w:val="004F48F0"/>
    <w:rsid w:val="004F49BC"/>
    <w:rsid w:val="004F527C"/>
    <w:rsid w:val="004F5525"/>
    <w:rsid w:val="004F581E"/>
    <w:rsid w:val="004F62E4"/>
    <w:rsid w:val="004F7D7C"/>
    <w:rsid w:val="004F7EE8"/>
    <w:rsid w:val="00500489"/>
    <w:rsid w:val="005006B8"/>
    <w:rsid w:val="00500D92"/>
    <w:rsid w:val="005014E0"/>
    <w:rsid w:val="00501907"/>
    <w:rsid w:val="00501F7A"/>
    <w:rsid w:val="00502664"/>
    <w:rsid w:val="00502E6A"/>
    <w:rsid w:val="00503436"/>
    <w:rsid w:val="00504097"/>
    <w:rsid w:val="0050515B"/>
    <w:rsid w:val="0050541F"/>
    <w:rsid w:val="00505C16"/>
    <w:rsid w:val="00506133"/>
    <w:rsid w:val="00507723"/>
    <w:rsid w:val="00507811"/>
    <w:rsid w:val="005078D8"/>
    <w:rsid w:val="00507CD0"/>
    <w:rsid w:val="00507F3A"/>
    <w:rsid w:val="00510005"/>
    <w:rsid w:val="0051060D"/>
    <w:rsid w:val="00510983"/>
    <w:rsid w:val="005109CF"/>
    <w:rsid w:val="00510A8A"/>
    <w:rsid w:val="00510CCB"/>
    <w:rsid w:val="00511054"/>
    <w:rsid w:val="00511056"/>
    <w:rsid w:val="00511232"/>
    <w:rsid w:val="00511450"/>
    <w:rsid w:val="005116E9"/>
    <w:rsid w:val="0051250B"/>
    <w:rsid w:val="00512AAC"/>
    <w:rsid w:val="005131B0"/>
    <w:rsid w:val="00513223"/>
    <w:rsid w:val="005145DD"/>
    <w:rsid w:val="00514976"/>
    <w:rsid w:val="00514DB1"/>
    <w:rsid w:val="00515019"/>
    <w:rsid w:val="00515C0E"/>
    <w:rsid w:val="00515ED5"/>
    <w:rsid w:val="005162E4"/>
    <w:rsid w:val="00516B8D"/>
    <w:rsid w:val="00517248"/>
    <w:rsid w:val="00517877"/>
    <w:rsid w:val="0051798A"/>
    <w:rsid w:val="005205B2"/>
    <w:rsid w:val="00520BED"/>
    <w:rsid w:val="00520D79"/>
    <w:rsid w:val="00520DBE"/>
    <w:rsid w:val="00521626"/>
    <w:rsid w:val="00521731"/>
    <w:rsid w:val="00522995"/>
    <w:rsid w:val="00523436"/>
    <w:rsid w:val="005234C4"/>
    <w:rsid w:val="005235D8"/>
    <w:rsid w:val="00523F46"/>
    <w:rsid w:val="0052795D"/>
    <w:rsid w:val="00530D83"/>
    <w:rsid w:val="00531AB1"/>
    <w:rsid w:val="00531C46"/>
    <w:rsid w:val="00531DBE"/>
    <w:rsid w:val="00531EBA"/>
    <w:rsid w:val="0053262B"/>
    <w:rsid w:val="00532B3D"/>
    <w:rsid w:val="005337A0"/>
    <w:rsid w:val="00533F2F"/>
    <w:rsid w:val="00534C1A"/>
    <w:rsid w:val="00534E62"/>
    <w:rsid w:val="0053517B"/>
    <w:rsid w:val="005358F6"/>
    <w:rsid w:val="00535EC2"/>
    <w:rsid w:val="0053601A"/>
    <w:rsid w:val="00536344"/>
    <w:rsid w:val="005370AE"/>
    <w:rsid w:val="0053744A"/>
    <w:rsid w:val="005378F7"/>
    <w:rsid w:val="00540DCF"/>
    <w:rsid w:val="005410EC"/>
    <w:rsid w:val="00541191"/>
    <w:rsid w:val="0054192E"/>
    <w:rsid w:val="00541BB3"/>
    <w:rsid w:val="00541D04"/>
    <w:rsid w:val="00542F0E"/>
    <w:rsid w:val="005432DA"/>
    <w:rsid w:val="0054406B"/>
    <w:rsid w:val="005443A6"/>
    <w:rsid w:val="0054569E"/>
    <w:rsid w:val="00546D18"/>
    <w:rsid w:val="00546DDB"/>
    <w:rsid w:val="00547762"/>
    <w:rsid w:val="00547B88"/>
    <w:rsid w:val="00547B91"/>
    <w:rsid w:val="00547CBF"/>
    <w:rsid w:val="005512D3"/>
    <w:rsid w:val="00552318"/>
    <w:rsid w:val="00552D14"/>
    <w:rsid w:val="0055329A"/>
    <w:rsid w:val="00553598"/>
    <w:rsid w:val="005542CE"/>
    <w:rsid w:val="00554ACB"/>
    <w:rsid w:val="00555BD1"/>
    <w:rsid w:val="005570CA"/>
    <w:rsid w:val="0055710A"/>
    <w:rsid w:val="0055773C"/>
    <w:rsid w:val="00560C98"/>
    <w:rsid w:val="00560DB7"/>
    <w:rsid w:val="005611EC"/>
    <w:rsid w:val="00561A10"/>
    <w:rsid w:val="0056209D"/>
    <w:rsid w:val="00562547"/>
    <w:rsid w:val="005629A3"/>
    <w:rsid w:val="00562AB8"/>
    <w:rsid w:val="00562C8D"/>
    <w:rsid w:val="00563D2F"/>
    <w:rsid w:val="00564254"/>
    <w:rsid w:val="0056529E"/>
    <w:rsid w:val="00565363"/>
    <w:rsid w:val="00565385"/>
    <w:rsid w:val="00566B18"/>
    <w:rsid w:val="00566C40"/>
    <w:rsid w:val="00566F6A"/>
    <w:rsid w:val="005670D7"/>
    <w:rsid w:val="0056738C"/>
    <w:rsid w:val="0057005E"/>
    <w:rsid w:val="005702B7"/>
    <w:rsid w:val="00571765"/>
    <w:rsid w:val="0057194D"/>
    <w:rsid w:val="00571FFC"/>
    <w:rsid w:val="00572B50"/>
    <w:rsid w:val="005733BD"/>
    <w:rsid w:val="00574BA4"/>
    <w:rsid w:val="00574CD3"/>
    <w:rsid w:val="00574DA7"/>
    <w:rsid w:val="00575390"/>
    <w:rsid w:val="00575416"/>
    <w:rsid w:val="00575484"/>
    <w:rsid w:val="0057628A"/>
    <w:rsid w:val="00576343"/>
    <w:rsid w:val="0057697E"/>
    <w:rsid w:val="005770CA"/>
    <w:rsid w:val="00577511"/>
    <w:rsid w:val="00577663"/>
    <w:rsid w:val="0057786A"/>
    <w:rsid w:val="00577976"/>
    <w:rsid w:val="0058008F"/>
    <w:rsid w:val="0058039C"/>
    <w:rsid w:val="00580503"/>
    <w:rsid w:val="0058096F"/>
    <w:rsid w:val="00580C44"/>
    <w:rsid w:val="00581499"/>
    <w:rsid w:val="0058170E"/>
    <w:rsid w:val="00581F33"/>
    <w:rsid w:val="00582552"/>
    <w:rsid w:val="00582934"/>
    <w:rsid w:val="00583331"/>
    <w:rsid w:val="00583A0F"/>
    <w:rsid w:val="00583E24"/>
    <w:rsid w:val="00583F13"/>
    <w:rsid w:val="00584CB0"/>
    <w:rsid w:val="0058608A"/>
    <w:rsid w:val="00586718"/>
    <w:rsid w:val="00586CA1"/>
    <w:rsid w:val="00590495"/>
    <w:rsid w:val="00592306"/>
    <w:rsid w:val="005935F3"/>
    <w:rsid w:val="00593634"/>
    <w:rsid w:val="00593999"/>
    <w:rsid w:val="0059468C"/>
    <w:rsid w:val="00595529"/>
    <w:rsid w:val="005960A6"/>
    <w:rsid w:val="005974A9"/>
    <w:rsid w:val="00597A29"/>
    <w:rsid w:val="00597B25"/>
    <w:rsid w:val="005A0730"/>
    <w:rsid w:val="005A0AD9"/>
    <w:rsid w:val="005A0F6D"/>
    <w:rsid w:val="005A1813"/>
    <w:rsid w:val="005A202B"/>
    <w:rsid w:val="005A2424"/>
    <w:rsid w:val="005A2A29"/>
    <w:rsid w:val="005A2CFF"/>
    <w:rsid w:val="005A2E2F"/>
    <w:rsid w:val="005A3ED0"/>
    <w:rsid w:val="005A42FB"/>
    <w:rsid w:val="005A462C"/>
    <w:rsid w:val="005A4AFF"/>
    <w:rsid w:val="005A4B47"/>
    <w:rsid w:val="005A4BEE"/>
    <w:rsid w:val="005A4C60"/>
    <w:rsid w:val="005A4FFC"/>
    <w:rsid w:val="005A50EF"/>
    <w:rsid w:val="005A5119"/>
    <w:rsid w:val="005A690D"/>
    <w:rsid w:val="005A78FC"/>
    <w:rsid w:val="005B0941"/>
    <w:rsid w:val="005B189A"/>
    <w:rsid w:val="005B1A78"/>
    <w:rsid w:val="005B219D"/>
    <w:rsid w:val="005B240B"/>
    <w:rsid w:val="005B28B7"/>
    <w:rsid w:val="005B2D53"/>
    <w:rsid w:val="005B3246"/>
    <w:rsid w:val="005B3983"/>
    <w:rsid w:val="005B4984"/>
    <w:rsid w:val="005B4989"/>
    <w:rsid w:val="005B5454"/>
    <w:rsid w:val="005B5849"/>
    <w:rsid w:val="005B5B18"/>
    <w:rsid w:val="005B629D"/>
    <w:rsid w:val="005B6599"/>
    <w:rsid w:val="005B66AB"/>
    <w:rsid w:val="005B7222"/>
    <w:rsid w:val="005C05E3"/>
    <w:rsid w:val="005C0F63"/>
    <w:rsid w:val="005C14A0"/>
    <w:rsid w:val="005C1C37"/>
    <w:rsid w:val="005C1CE1"/>
    <w:rsid w:val="005C212A"/>
    <w:rsid w:val="005C265C"/>
    <w:rsid w:val="005C2A99"/>
    <w:rsid w:val="005C2CB8"/>
    <w:rsid w:val="005C3105"/>
    <w:rsid w:val="005C3733"/>
    <w:rsid w:val="005C39F1"/>
    <w:rsid w:val="005C415D"/>
    <w:rsid w:val="005C444B"/>
    <w:rsid w:val="005C4626"/>
    <w:rsid w:val="005C5959"/>
    <w:rsid w:val="005C6229"/>
    <w:rsid w:val="005C68C5"/>
    <w:rsid w:val="005D010B"/>
    <w:rsid w:val="005D0A8D"/>
    <w:rsid w:val="005D1419"/>
    <w:rsid w:val="005D157E"/>
    <w:rsid w:val="005D1E42"/>
    <w:rsid w:val="005D2222"/>
    <w:rsid w:val="005D2B69"/>
    <w:rsid w:val="005D326F"/>
    <w:rsid w:val="005D3A64"/>
    <w:rsid w:val="005D421C"/>
    <w:rsid w:val="005D444B"/>
    <w:rsid w:val="005D4610"/>
    <w:rsid w:val="005D4B35"/>
    <w:rsid w:val="005D5397"/>
    <w:rsid w:val="005D5B4E"/>
    <w:rsid w:val="005D61BD"/>
    <w:rsid w:val="005D6F69"/>
    <w:rsid w:val="005E0201"/>
    <w:rsid w:val="005E0610"/>
    <w:rsid w:val="005E0AEF"/>
    <w:rsid w:val="005E0C71"/>
    <w:rsid w:val="005E0D04"/>
    <w:rsid w:val="005E1A44"/>
    <w:rsid w:val="005E2063"/>
    <w:rsid w:val="005E21EB"/>
    <w:rsid w:val="005E25F7"/>
    <w:rsid w:val="005E2BCA"/>
    <w:rsid w:val="005E2E26"/>
    <w:rsid w:val="005E371F"/>
    <w:rsid w:val="005E3D4E"/>
    <w:rsid w:val="005E3E45"/>
    <w:rsid w:val="005E3F57"/>
    <w:rsid w:val="005E4729"/>
    <w:rsid w:val="005E4786"/>
    <w:rsid w:val="005E4E96"/>
    <w:rsid w:val="005E5C9D"/>
    <w:rsid w:val="005E6494"/>
    <w:rsid w:val="005E6930"/>
    <w:rsid w:val="005E70B5"/>
    <w:rsid w:val="005E79FC"/>
    <w:rsid w:val="005E7D80"/>
    <w:rsid w:val="005F045F"/>
    <w:rsid w:val="005F074B"/>
    <w:rsid w:val="005F097B"/>
    <w:rsid w:val="005F1E45"/>
    <w:rsid w:val="005F22C9"/>
    <w:rsid w:val="005F3718"/>
    <w:rsid w:val="005F3A73"/>
    <w:rsid w:val="005F3B01"/>
    <w:rsid w:val="005F3B5B"/>
    <w:rsid w:val="005F3E39"/>
    <w:rsid w:val="005F3FAE"/>
    <w:rsid w:val="005F4836"/>
    <w:rsid w:val="005F4C12"/>
    <w:rsid w:val="005F4FF8"/>
    <w:rsid w:val="005F5C9C"/>
    <w:rsid w:val="005F6411"/>
    <w:rsid w:val="005F6669"/>
    <w:rsid w:val="005F67F8"/>
    <w:rsid w:val="005F7192"/>
    <w:rsid w:val="005F7677"/>
    <w:rsid w:val="005F7AF2"/>
    <w:rsid w:val="00600910"/>
    <w:rsid w:val="00600AFA"/>
    <w:rsid w:val="00600C39"/>
    <w:rsid w:val="00600C98"/>
    <w:rsid w:val="00600ECC"/>
    <w:rsid w:val="0060176B"/>
    <w:rsid w:val="00602287"/>
    <w:rsid w:val="00602B1E"/>
    <w:rsid w:val="00602C09"/>
    <w:rsid w:val="00603049"/>
    <w:rsid w:val="00603524"/>
    <w:rsid w:val="00603CEB"/>
    <w:rsid w:val="00604D80"/>
    <w:rsid w:val="00605117"/>
    <w:rsid w:val="00605335"/>
    <w:rsid w:val="006063B3"/>
    <w:rsid w:val="00606819"/>
    <w:rsid w:val="00606C00"/>
    <w:rsid w:val="00606DD2"/>
    <w:rsid w:val="00607BEA"/>
    <w:rsid w:val="00607F44"/>
    <w:rsid w:val="00607FFD"/>
    <w:rsid w:val="00611244"/>
    <w:rsid w:val="006112EA"/>
    <w:rsid w:val="00611614"/>
    <w:rsid w:val="00611B5F"/>
    <w:rsid w:val="00611C70"/>
    <w:rsid w:val="00611D8D"/>
    <w:rsid w:val="00611D9C"/>
    <w:rsid w:val="00611F6E"/>
    <w:rsid w:val="006123C8"/>
    <w:rsid w:val="006123CC"/>
    <w:rsid w:val="0061286D"/>
    <w:rsid w:val="00612DF1"/>
    <w:rsid w:val="00613B7E"/>
    <w:rsid w:val="00613DE7"/>
    <w:rsid w:val="00614223"/>
    <w:rsid w:val="00614825"/>
    <w:rsid w:val="00615F81"/>
    <w:rsid w:val="00616483"/>
    <w:rsid w:val="00616A66"/>
    <w:rsid w:val="00620399"/>
    <w:rsid w:val="00620C66"/>
    <w:rsid w:val="00621B14"/>
    <w:rsid w:val="00621D5A"/>
    <w:rsid w:val="006222E8"/>
    <w:rsid w:val="006224D8"/>
    <w:rsid w:val="00622561"/>
    <w:rsid w:val="00624953"/>
    <w:rsid w:val="00624A87"/>
    <w:rsid w:val="006252CC"/>
    <w:rsid w:val="0062542D"/>
    <w:rsid w:val="00625504"/>
    <w:rsid w:val="006258B8"/>
    <w:rsid w:val="00625B5C"/>
    <w:rsid w:val="00625C20"/>
    <w:rsid w:val="006265A6"/>
    <w:rsid w:val="006269D1"/>
    <w:rsid w:val="00626A66"/>
    <w:rsid w:val="00627259"/>
    <w:rsid w:val="006272FF"/>
    <w:rsid w:val="006302A8"/>
    <w:rsid w:val="006302F4"/>
    <w:rsid w:val="00630D9F"/>
    <w:rsid w:val="006310B9"/>
    <w:rsid w:val="00631393"/>
    <w:rsid w:val="00631409"/>
    <w:rsid w:val="00631AC4"/>
    <w:rsid w:val="00631AE9"/>
    <w:rsid w:val="00631B54"/>
    <w:rsid w:val="00632809"/>
    <w:rsid w:val="00632932"/>
    <w:rsid w:val="00632BBE"/>
    <w:rsid w:val="00632F63"/>
    <w:rsid w:val="00633873"/>
    <w:rsid w:val="006338CB"/>
    <w:rsid w:val="00634238"/>
    <w:rsid w:val="006342CF"/>
    <w:rsid w:val="006342D0"/>
    <w:rsid w:val="006343F1"/>
    <w:rsid w:val="00634D69"/>
    <w:rsid w:val="006353ED"/>
    <w:rsid w:val="00635692"/>
    <w:rsid w:val="006360A1"/>
    <w:rsid w:val="00636B49"/>
    <w:rsid w:val="00636D2B"/>
    <w:rsid w:val="00637026"/>
    <w:rsid w:val="006376B1"/>
    <w:rsid w:val="00637E31"/>
    <w:rsid w:val="0064043D"/>
    <w:rsid w:val="00640FBF"/>
    <w:rsid w:val="006410B9"/>
    <w:rsid w:val="00641107"/>
    <w:rsid w:val="006419F9"/>
    <w:rsid w:val="00641C34"/>
    <w:rsid w:val="00642439"/>
    <w:rsid w:val="006428C3"/>
    <w:rsid w:val="00642DCF"/>
    <w:rsid w:val="006433B4"/>
    <w:rsid w:val="006434B3"/>
    <w:rsid w:val="006436B1"/>
    <w:rsid w:val="006443A2"/>
    <w:rsid w:val="006447B0"/>
    <w:rsid w:val="0064507C"/>
    <w:rsid w:val="006451E6"/>
    <w:rsid w:val="006452E1"/>
    <w:rsid w:val="006454B8"/>
    <w:rsid w:val="006459CE"/>
    <w:rsid w:val="00645D19"/>
    <w:rsid w:val="006464D9"/>
    <w:rsid w:val="006468E9"/>
    <w:rsid w:val="00646C23"/>
    <w:rsid w:val="00646E4B"/>
    <w:rsid w:val="0064750F"/>
    <w:rsid w:val="006476EA"/>
    <w:rsid w:val="00647D70"/>
    <w:rsid w:val="0065106C"/>
    <w:rsid w:val="006512C6"/>
    <w:rsid w:val="006515C9"/>
    <w:rsid w:val="0065160E"/>
    <w:rsid w:val="00651FAF"/>
    <w:rsid w:val="00652689"/>
    <w:rsid w:val="00652A97"/>
    <w:rsid w:val="006532DD"/>
    <w:rsid w:val="006536B1"/>
    <w:rsid w:val="00653AC7"/>
    <w:rsid w:val="0065478A"/>
    <w:rsid w:val="006552EF"/>
    <w:rsid w:val="0065642F"/>
    <w:rsid w:val="006567AE"/>
    <w:rsid w:val="00656CFE"/>
    <w:rsid w:val="00656EDB"/>
    <w:rsid w:val="00656FCA"/>
    <w:rsid w:val="00657E5F"/>
    <w:rsid w:val="00657FB9"/>
    <w:rsid w:val="00660386"/>
    <w:rsid w:val="00661170"/>
    <w:rsid w:val="00662B77"/>
    <w:rsid w:val="00663060"/>
    <w:rsid w:val="006631F9"/>
    <w:rsid w:val="00663B85"/>
    <w:rsid w:val="00664C32"/>
    <w:rsid w:val="00665ADF"/>
    <w:rsid w:val="00666523"/>
    <w:rsid w:val="00666BA3"/>
    <w:rsid w:val="006670BA"/>
    <w:rsid w:val="00667155"/>
    <w:rsid w:val="006674D7"/>
    <w:rsid w:val="006679D0"/>
    <w:rsid w:val="00667ADA"/>
    <w:rsid w:val="00670034"/>
    <w:rsid w:val="00670975"/>
    <w:rsid w:val="00670A89"/>
    <w:rsid w:val="00670EF2"/>
    <w:rsid w:val="00671296"/>
    <w:rsid w:val="006712C0"/>
    <w:rsid w:val="0067178A"/>
    <w:rsid w:val="00671881"/>
    <w:rsid w:val="00671B28"/>
    <w:rsid w:val="00671C5A"/>
    <w:rsid w:val="0067203D"/>
    <w:rsid w:val="00672505"/>
    <w:rsid w:val="006726A2"/>
    <w:rsid w:val="0067277D"/>
    <w:rsid w:val="006727F9"/>
    <w:rsid w:val="006736AA"/>
    <w:rsid w:val="006737CA"/>
    <w:rsid w:val="00674628"/>
    <w:rsid w:val="006749F2"/>
    <w:rsid w:val="006751CF"/>
    <w:rsid w:val="0067601E"/>
    <w:rsid w:val="00676354"/>
    <w:rsid w:val="0067747E"/>
    <w:rsid w:val="0067767A"/>
    <w:rsid w:val="00677910"/>
    <w:rsid w:val="00677B77"/>
    <w:rsid w:val="00677E28"/>
    <w:rsid w:val="00680E1E"/>
    <w:rsid w:val="0068129B"/>
    <w:rsid w:val="006818A2"/>
    <w:rsid w:val="00681D8F"/>
    <w:rsid w:val="00682657"/>
    <w:rsid w:val="00682A6D"/>
    <w:rsid w:val="00682E7E"/>
    <w:rsid w:val="006841F9"/>
    <w:rsid w:val="00684B02"/>
    <w:rsid w:val="006859D8"/>
    <w:rsid w:val="0068600D"/>
    <w:rsid w:val="00686909"/>
    <w:rsid w:val="00686B1A"/>
    <w:rsid w:val="00686BEA"/>
    <w:rsid w:val="00686D2F"/>
    <w:rsid w:val="0068718E"/>
    <w:rsid w:val="00687931"/>
    <w:rsid w:val="00687CAC"/>
    <w:rsid w:val="00690B70"/>
    <w:rsid w:val="00690E79"/>
    <w:rsid w:val="00691A56"/>
    <w:rsid w:val="0069203B"/>
    <w:rsid w:val="00692324"/>
    <w:rsid w:val="006925D8"/>
    <w:rsid w:val="00692719"/>
    <w:rsid w:val="006927C0"/>
    <w:rsid w:val="0069317D"/>
    <w:rsid w:val="0069397A"/>
    <w:rsid w:val="00693992"/>
    <w:rsid w:val="00693EEA"/>
    <w:rsid w:val="00694033"/>
    <w:rsid w:val="00694B5A"/>
    <w:rsid w:val="00695E78"/>
    <w:rsid w:val="0069634B"/>
    <w:rsid w:val="0069635F"/>
    <w:rsid w:val="00696BD1"/>
    <w:rsid w:val="00696D02"/>
    <w:rsid w:val="00697333"/>
    <w:rsid w:val="0069747F"/>
    <w:rsid w:val="0069757E"/>
    <w:rsid w:val="00697768"/>
    <w:rsid w:val="006A0375"/>
    <w:rsid w:val="006A0500"/>
    <w:rsid w:val="006A056F"/>
    <w:rsid w:val="006A0CC9"/>
    <w:rsid w:val="006A0F6E"/>
    <w:rsid w:val="006A10FD"/>
    <w:rsid w:val="006A1296"/>
    <w:rsid w:val="006A1553"/>
    <w:rsid w:val="006A17BB"/>
    <w:rsid w:val="006A3037"/>
    <w:rsid w:val="006A3CDE"/>
    <w:rsid w:val="006A467F"/>
    <w:rsid w:val="006A4BA5"/>
    <w:rsid w:val="006A578B"/>
    <w:rsid w:val="006A58EB"/>
    <w:rsid w:val="006A68D3"/>
    <w:rsid w:val="006B09CB"/>
    <w:rsid w:val="006B0BA9"/>
    <w:rsid w:val="006B1253"/>
    <w:rsid w:val="006B1383"/>
    <w:rsid w:val="006B1463"/>
    <w:rsid w:val="006B14F0"/>
    <w:rsid w:val="006B1640"/>
    <w:rsid w:val="006B1E90"/>
    <w:rsid w:val="006B1F45"/>
    <w:rsid w:val="006B2055"/>
    <w:rsid w:val="006B2D44"/>
    <w:rsid w:val="006B4220"/>
    <w:rsid w:val="006B4386"/>
    <w:rsid w:val="006B4682"/>
    <w:rsid w:val="006B4F8F"/>
    <w:rsid w:val="006B5BEB"/>
    <w:rsid w:val="006B5D76"/>
    <w:rsid w:val="006B6B23"/>
    <w:rsid w:val="006B6C88"/>
    <w:rsid w:val="006B726E"/>
    <w:rsid w:val="006B7A92"/>
    <w:rsid w:val="006B7DAA"/>
    <w:rsid w:val="006B7E82"/>
    <w:rsid w:val="006C01B3"/>
    <w:rsid w:val="006C0920"/>
    <w:rsid w:val="006C095F"/>
    <w:rsid w:val="006C09D9"/>
    <w:rsid w:val="006C0A0D"/>
    <w:rsid w:val="006C0B90"/>
    <w:rsid w:val="006C0E60"/>
    <w:rsid w:val="006C18EE"/>
    <w:rsid w:val="006C2244"/>
    <w:rsid w:val="006C2CCB"/>
    <w:rsid w:val="006C2EF5"/>
    <w:rsid w:val="006C316B"/>
    <w:rsid w:val="006C3371"/>
    <w:rsid w:val="006C425F"/>
    <w:rsid w:val="006C4C4F"/>
    <w:rsid w:val="006C4F53"/>
    <w:rsid w:val="006C53A9"/>
    <w:rsid w:val="006C61E9"/>
    <w:rsid w:val="006C6487"/>
    <w:rsid w:val="006C69DC"/>
    <w:rsid w:val="006C72BC"/>
    <w:rsid w:val="006D04E4"/>
    <w:rsid w:val="006D094C"/>
    <w:rsid w:val="006D1275"/>
    <w:rsid w:val="006D148B"/>
    <w:rsid w:val="006D187B"/>
    <w:rsid w:val="006D1FE7"/>
    <w:rsid w:val="006D3D6E"/>
    <w:rsid w:val="006D45F8"/>
    <w:rsid w:val="006D4624"/>
    <w:rsid w:val="006D540D"/>
    <w:rsid w:val="006D5EF7"/>
    <w:rsid w:val="006D6127"/>
    <w:rsid w:val="006D66F1"/>
    <w:rsid w:val="006D6DFF"/>
    <w:rsid w:val="006D6F1C"/>
    <w:rsid w:val="006D7990"/>
    <w:rsid w:val="006D7FA8"/>
    <w:rsid w:val="006E13BF"/>
    <w:rsid w:val="006E17DC"/>
    <w:rsid w:val="006E1C77"/>
    <w:rsid w:val="006E200B"/>
    <w:rsid w:val="006E203E"/>
    <w:rsid w:val="006E21C5"/>
    <w:rsid w:val="006E2A31"/>
    <w:rsid w:val="006E2EB0"/>
    <w:rsid w:val="006E2FF2"/>
    <w:rsid w:val="006E307C"/>
    <w:rsid w:val="006E3AB7"/>
    <w:rsid w:val="006E3CA5"/>
    <w:rsid w:val="006E4229"/>
    <w:rsid w:val="006E44FA"/>
    <w:rsid w:val="006E4EB1"/>
    <w:rsid w:val="006E4EBC"/>
    <w:rsid w:val="006E4F2A"/>
    <w:rsid w:val="006E51AF"/>
    <w:rsid w:val="006E52C8"/>
    <w:rsid w:val="006E575A"/>
    <w:rsid w:val="006E7447"/>
    <w:rsid w:val="006E749E"/>
    <w:rsid w:val="006F0296"/>
    <w:rsid w:val="006F110F"/>
    <w:rsid w:val="006F1DB5"/>
    <w:rsid w:val="006F1DF1"/>
    <w:rsid w:val="006F22DE"/>
    <w:rsid w:val="006F2339"/>
    <w:rsid w:val="006F2D93"/>
    <w:rsid w:val="006F31E5"/>
    <w:rsid w:val="006F3B2C"/>
    <w:rsid w:val="006F45B8"/>
    <w:rsid w:val="006F4901"/>
    <w:rsid w:val="006F5017"/>
    <w:rsid w:val="006F5351"/>
    <w:rsid w:val="006F53A6"/>
    <w:rsid w:val="006F5602"/>
    <w:rsid w:val="006F592E"/>
    <w:rsid w:val="006F60E5"/>
    <w:rsid w:val="006F63FA"/>
    <w:rsid w:val="006F64CD"/>
    <w:rsid w:val="006F6578"/>
    <w:rsid w:val="006F70AF"/>
    <w:rsid w:val="006F70FC"/>
    <w:rsid w:val="00700066"/>
    <w:rsid w:val="00700BB8"/>
    <w:rsid w:val="007013C5"/>
    <w:rsid w:val="00701505"/>
    <w:rsid w:val="00701522"/>
    <w:rsid w:val="00701701"/>
    <w:rsid w:val="00701C77"/>
    <w:rsid w:val="00701D23"/>
    <w:rsid w:val="00701DC8"/>
    <w:rsid w:val="00702746"/>
    <w:rsid w:val="007027D3"/>
    <w:rsid w:val="00702B9A"/>
    <w:rsid w:val="00702F24"/>
    <w:rsid w:val="007033DE"/>
    <w:rsid w:val="00703A20"/>
    <w:rsid w:val="00703EFE"/>
    <w:rsid w:val="0070410C"/>
    <w:rsid w:val="00704472"/>
    <w:rsid w:val="00704D4F"/>
    <w:rsid w:val="0070521B"/>
    <w:rsid w:val="00705D6E"/>
    <w:rsid w:val="007060EA"/>
    <w:rsid w:val="007063EA"/>
    <w:rsid w:val="007065CD"/>
    <w:rsid w:val="00706807"/>
    <w:rsid w:val="007068C2"/>
    <w:rsid w:val="0070788C"/>
    <w:rsid w:val="007078F7"/>
    <w:rsid w:val="007107EC"/>
    <w:rsid w:val="0071137E"/>
    <w:rsid w:val="007119D8"/>
    <w:rsid w:val="00711C67"/>
    <w:rsid w:val="0071255D"/>
    <w:rsid w:val="0071282B"/>
    <w:rsid w:val="00712874"/>
    <w:rsid w:val="00713914"/>
    <w:rsid w:val="007142ED"/>
    <w:rsid w:val="007150CC"/>
    <w:rsid w:val="00715F85"/>
    <w:rsid w:val="00717681"/>
    <w:rsid w:val="00717AB6"/>
    <w:rsid w:val="00717C38"/>
    <w:rsid w:val="0072046A"/>
    <w:rsid w:val="0072082B"/>
    <w:rsid w:val="00720A8C"/>
    <w:rsid w:val="00720CE0"/>
    <w:rsid w:val="00720FDB"/>
    <w:rsid w:val="00721C68"/>
    <w:rsid w:val="00721D86"/>
    <w:rsid w:val="00721E36"/>
    <w:rsid w:val="00722620"/>
    <w:rsid w:val="00722834"/>
    <w:rsid w:val="00723397"/>
    <w:rsid w:val="007236C5"/>
    <w:rsid w:val="0072450B"/>
    <w:rsid w:val="00724CCD"/>
    <w:rsid w:val="00725227"/>
    <w:rsid w:val="00725419"/>
    <w:rsid w:val="007257B0"/>
    <w:rsid w:val="00726209"/>
    <w:rsid w:val="00726474"/>
    <w:rsid w:val="007264C5"/>
    <w:rsid w:val="0072673A"/>
    <w:rsid w:val="00726CB7"/>
    <w:rsid w:val="00726F07"/>
    <w:rsid w:val="007274A9"/>
    <w:rsid w:val="00727878"/>
    <w:rsid w:val="00727EB9"/>
    <w:rsid w:val="00727FF0"/>
    <w:rsid w:val="00730069"/>
    <w:rsid w:val="0073037D"/>
    <w:rsid w:val="0073100B"/>
    <w:rsid w:val="00731C86"/>
    <w:rsid w:val="00731F01"/>
    <w:rsid w:val="007325C5"/>
    <w:rsid w:val="00732F44"/>
    <w:rsid w:val="00733087"/>
    <w:rsid w:val="00733152"/>
    <w:rsid w:val="00734297"/>
    <w:rsid w:val="007342AF"/>
    <w:rsid w:val="00734AC4"/>
    <w:rsid w:val="007353DF"/>
    <w:rsid w:val="00735B11"/>
    <w:rsid w:val="007360FF"/>
    <w:rsid w:val="007362DB"/>
    <w:rsid w:val="007372A3"/>
    <w:rsid w:val="007404E6"/>
    <w:rsid w:val="007406D5"/>
    <w:rsid w:val="00740E22"/>
    <w:rsid w:val="00741BE8"/>
    <w:rsid w:val="00741CAB"/>
    <w:rsid w:val="0074240A"/>
    <w:rsid w:val="0074267C"/>
    <w:rsid w:val="00742725"/>
    <w:rsid w:val="00743009"/>
    <w:rsid w:val="00743468"/>
    <w:rsid w:val="0074495E"/>
    <w:rsid w:val="007450A3"/>
    <w:rsid w:val="0074564F"/>
    <w:rsid w:val="00745A7A"/>
    <w:rsid w:val="00747528"/>
    <w:rsid w:val="00747CEE"/>
    <w:rsid w:val="00750795"/>
    <w:rsid w:val="00750DC2"/>
    <w:rsid w:val="00751950"/>
    <w:rsid w:val="00751BEE"/>
    <w:rsid w:val="00752541"/>
    <w:rsid w:val="0075278C"/>
    <w:rsid w:val="0075287A"/>
    <w:rsid w:val="007529BE"/>
    <w:rsid w:val="00752FCD"/>
    <w:rsid w:val="00753122"/>
    <w:rsid w:val="007540F7"/>
    <w:rsid w:val="00755303"/>
    <w:rsid w:val="00755759"/>
    <w:rsid w:val="00755787"/>
    <w:rsid w:val="007557EF"/>
    <w:rsid w:val="00755956"/>
    <w:rsid w:val="00755FFE"/>
    <w:rsid w:val="007571C2"/>
    <w:rsid w:val="00757670"/>
    <w:rsid w:val="007576FD"/>
    <w:rsid w:val="00757858"/>
    <w:rsid w:val="00761573"/>
    <w:rsid w:val="007617D4"/>
    <w:rsid w:val="00761A23"/>
    <w:rsid w:val="00761AEB"/>
    <w:rsid w:val="00761E47"/>
    <w:rsid w:val="00761F6B"/>
    <w:rsid w:val="00762A57"/>
    <w:rsid w:val="00762FDD"/>
    <w:rsid w:val="00762FE3"/>
    <w:rsid w:val="00763329"/>
    <w:rsid w:val="00763CFA"/>
    <w:rsid w:val="00763D82"/>
    <w:rsid w:val="00763DFD"/>
    <w:rsid w:val="007640BC"/>
    <w:rsid w:val="00764364"/>
    <w:rsid w:val="00764B41"/>
    <w:rsid w:val="007651BE"/>
    <w:rsid w:val="00765508"/>
    <w:rsid w:val="007658C3"/>
    <w:rsid w:val="00765A71"/>
    <w:rsid w:val="00766013"/>
    <w:rsid w:val="007663F3"/>
    <w:rsid w:val="0076706F"/>
    <w:rsid w:val="00767B1E"/>
    <w:rsid w:val="007701AD"/>
    <w:rsid w:val="007709A9"/>
    <w:rsid w:val="00770E2E"/>
    <w:rsid w:val="0077152D"/>
    <w:rsid w:val="00772A97"/>
    <w:rsid w:val="00772CFE"/>
    <w:rsid w:val="00772F66"/>
    <w:rsid w:val="00773084"/>
    <w:rsid w:val="007742A2"/>
    <w:rsid w:val="0077454D"/>
    <w:rsid w:val="00775486"/>
    <w:rsid w:val="00776060"/>
    <w:rsid w:val="007763F2"/>
    <w:rsid w:val="00776739"/>
    <w:rsid w:val="007777CE"/>
    <w:rsid w:val="007779C9"/>
    <w:rsid w:val="00777BB6"/>
    <w:rsid w:val="00780499"/>
    <w:rsid w:val="007806AC"/>
    <w:rsid w:val="00780801"/>
    <w:rsid w:val="00780CFE"/>
    <w:rsid w:val="0078165D"/>
    <w:rsid w:val="00781E47"/>
    <w:rsid w:val="00781E91"/>
    <w:rsid w:val="00782349"/>
    <w:rsid w:val="00782562"/>
    <w:rsid w:val="00782901"/>
    <w:rsid w:val="00782C04"/>
    <w:rsid w:val="007830B4"/>
    <w:rsid w:val="00783715"/>
    <w:rsid w:val="00783D97"/>
    <w:rsid w:val="00783F42"/>
    <w:rsid w:val="00783FBF"/>
    <w:rsid w:val="0078403D"/>
    <w:rsid w:val="007843A5"/>
    <w:rsid w:val="00784B0D"/>
    <w:rsid w:val="00784E13"/>
    <w:rsid w:val="007850BD"/>
    <w:rsid w:val="0078541C"/>
    <w:rsid w:val="0078542C"/>
    <w:rsid w:val="007858A1"/>
    <w:rsid w:val="00785B88"/>
    <w:rsid w:val="007864C5"/>
    <w:rsid w:val="007865C2"/>
    <w:rsid w:val="00786686"/>
    <w:rsid w:val="00787788"/>
    <w:rsid w:val="0078794E"/>
    <w:rsid w:val="00787AB8"/>
    <w:rsid w:val="00787BB5"/>
    <w:rsid w:val="007913A7"/>
    <w:rsid w:val="00791BEF"/>
    <w:rsid w:val="0079204A"/>
    <w:rsid w:val="00792434"/>
    <w:rsid w:val="00792C39"/>
    <w:rsid w:val="00792C56"/>
    <w:rsid w:val="007936F9"/>
    <w:rsid w:val="00793FE1"/>
    <w:rsid w:val="007962AF"/>
    <w:rsid w:val="007965AF"/>
    <w:rsid w:val="007969D3"/>
    <w:rsid w:val="00796A87"/>
    <w:rsid w:val="00797899"/>
    <w:rsid w:val="007A061E"/>
    <w:rsid w:val="007A1B63"/>
    <w:rsid w:val="007A2168"/>
    <w:rsid w:val="007A2278"/>
    <w:rsid w:val="007A26D0"/>
    <w:rsid w:val="007A2803"/>
    <w:rsid w:val="007A2E47"/>
    <w:rsid w:val="007A2EC0"/>
    <w:rsid w:val="007A3314"/>
    <w:rsid w:val="007A39CD"/>
    <w:rsid w:val="007A42FD"/>
    <w:rsid w:val="007A441F"/>
    <w:rsid w:val="007A4439"/>
    <w:rsid w:val="007A4545"/>
    <w:rsid w:val="007A6F11"/>
    <w:rsid w:val="007A6F17"/>
    <w:rsid w:val="007A6F9D"/>
    <w:rsid w:val="007A7393"/>
    <w:rsid w:val="007A7C31"/>
    <w:rsid w:val="007B06C8"/>
    <w:rsid w:val="007B0FDC"/>
    <w:rsid w:val="007B1B11"/>
    <w:rsid w:val="007B28DD"/>
    <w:rsid w:val="007B2CA9"/>
    <w:rsid w:val="007B379A"/>
    <w:rsid w:val="007B3AD3"/>
    <w:rsid w:val="007B447B"/>
    <w:rsid w:val="007B4575"/>
    <w:rsid w:val="007B4FE9"/>
    <w:rsid w:val="007B5615"/>
    <w:rsid w:val="007B56FC"/>
    <w:rsid w:val="007B59B0"/>
    <w:rsid w:val="007B59F2"/>
    <w:rsid w:val="007B5DD9"/>
    <w:rsid w:val="007B5DF3"/>
    <w:rsid w:val="007B5E27"/>
    <w:rsid w:val="007B6B67"/>
    <w:rsid w:val="007B721A"/>
    <w:rsid w:val="007B7383"/>
    <w:rsid w:val="007B7427"/>
    <w:rsid w:val="007B7C67"/>
    <w:rsid w:val="007B7CE9"/>
    <w:rsid w:val="007C02D7"/>
    <w:rsid w:val="007C039D"/>
    <w:rsid w:val="007C0A01"/>
    <w:rsid w:val="007C0A27"/>
    <w:rsid w:val="007C1309"/>
    <w:rsid w:val="007C152A"/>
    <w:rsid w:val="007C1536"/>
    <w:rsid w:val="007C1874"/>
    <w:rsid w:val="007C1D82"/>
    <w:rsid w:val="007C1FEF"/>
    <w:rsid w:val="007C2803"/>
    <w:rsid w:val="007C35ED"/>
    <w:rsid w:val="007C389B"/>
    <w:rsid w:val="007C3E02"/>
    <w:rsid w:val="007C4349"/>
    <w:rsid w:val="007C4A8A"/>
    <w:rsid w:val="007C4B27"/>
    <w:rsid w:val="007C4F61"/>
    <w:rsid w:val="007C5AEE"/>
    <w:rsid w:val="007C5FA5"/>
    <w:rsid w:val="007C611F"/>
    <w:rsid w:val="007C7097"/>
    <w:rsid w:val="007C78CA"/>
    <w:rsid w:val="007C7D7D"/>
    <w:rsid w:val="007C7F0A"/>
    <w:rsid w:val="007D0322"/>
    <w:rsid w:val="007D0A8C"/>
    <w:rsid w:val="007D0C0B"/>
    <w:rsid w:val="007D0CE7"/>
    <w:rsid w:val="007D1E59"/>
    <w:rsid w:val="007D2B28"/>
    <w:rsid w:val="007D2E18"/>
    <w:rsid w:val="007D2F91"/>
    <w:rsid w:val="007D36AB"/>
    <w:rsid w:val="007D3B41"/>
    <w:rsid w:val="007D3C48"/>
    <w:rsid w:val="007D3F8F"/>
    <w:rsid w:val="007D41ED"/>
    <w:rsid w:val="007D45BB"/>
    <w:rsid w:val="007D45F2"/>
    <w:rsid w:val="007D4B7F"/>
    <w:rsid w:val="007D57F1"/>
    <w:rsid w:val="007D5894"/>
    <w:rsid w:val="007D5B78"/>
    <w:rsid w:val="007D5D88"/>
    <w:rsid w:val="007D5E2A"/>
    <w:rsid w:val="007D62B7"/>
    <w:rsid w:val="007D6E7F"/>
    <w:rsid w:val="007D736D"/>
    <w:rsid w:val="007D7388"/>
    <w:rsid w:val="007D7D41"/>
    <w:rsid w:val="007E010F"/>
    <w:rsid w:val="007E0112"/>
    <w:rsid w:val="007E037A"/>
    <w:rsid w:val="007E0631"/>
    <w:rsid w:val="007E0893"/>
    <w:rsid w:val="007E08D9"/>
    <w:rsid w:val="007E0D2C"/>
    <w:rsid w:val="007E10D8"/>
    <w:rsid w:val="007E137B"/>
    <w:rsid w:val="007E18F4"/>
    <w:rsid w:val="007E2247"/>
    <w:rsid w:val="007E2B18"/>
    <w:rsid w:val="007E37A0"/>
    <w:rsid w:val="007E45CB"/>
    <w:rsid w:val="007E55AA"/>
    <w:rsid w:val="007E562D"/>
    <w:rsid w:val="007E5A4D"/>
    <w:rsid w:val="007E7799"/>
    <w:rsid w:val="007E7CB1"/>
    <w:rsid w:val="007F00D4"/>
    <w:rsid w:val="007F0CC3"/>
    <w:rsid w:val="007F12BD"/>
    <w:rsid w:val="007F142E"/>
    <w:rsid w:val="007F1C2A"/>
    <w:rsid w:val="007F2A97"/>
    <w:rsid w:val="007F3306"/>
    <w:rsid w:val="007F359A"/>
    <w:rsid w:val="007F3A69"/>
    <w:rsid w:val="007F3CD5"/>
    <w:rsid w:val="007F419B"/>
    <w:rsid w:val="007F4384"/>
    <w:rsid w:val="007F4E1D"/>
    <w:rsid w:val="007F53E4"/>
    <w:rsid w:val="007F549D"/>
    <w:rsid w:val="007F5598"/>
    <w:rsid w:val="007F5BBB"/>
    <w:rsid w:val="007F6568"/>
    <w:rsid w:val="007F68B7"/>
    <w:rsid w:val="007F737F"/>
    <w:rsid w:val="007F78E9"/>
    <w:rsid w:val="007F7D31"/>
    <w:rsid w:val="008001D6"/>
    <w:rsid w:val="00800FC8"/>
    <w:rsid w:val="00801947"/>
    <w:rsid w:val="008027B8"/>
    <w:rsid w:val="008029DD"/>
    <w:rsid w:val="00803648"/>
    <w:rsid w:val="008037A9"/>
    <w:rsid w:val="00803819"/>
    <w:rsid w:val="00803F56"/>
    <w:rsid w:val="00804051"/>
    <w:rsid w:val="0080435E"/>
    <w:rsid w:val="008044A3"/>
    <w:rsid w:val="0080464F"/>
    <w:rsid w:val="00805FC9"/>
    <w:rsid w:val="00806FF0"/>
    <w:rsid w:val="00807D8C"/>
    <w:rsid w:val="00810A7D"/>
    <w:rsid w:val="00810E8F"/>
    <w:rsid w:val="00811DD9"/>
    <w:rsid w:val="008124B7"/>
    <w:rsid w:val="00813910"/>
    <w:rsid w:val="00814385"/>
    <w:rsid w:val="00814510"/>
    <w:rsid w:val="0081479F"/>
    <w:rsid w:val="00814D6E"/>
    <w:rsid w:val="00815124"/>
    <w:rsid w:val="00815825"/>
    <w:rsid w:val="00815F19"/>
    <w:rsid w:val="008160BD"/>
    <w:rsid w:val="008170D0"/>
    <w:rsid w:val="00817719"/>
    <w:rsid w:val="00823528"/>
    <w:rsid w:val="00823A3F"/>
    <w:rsid w:val="00824B59"/>
    <w:rsid w:val="00825E0F"/>
    <w:rsid w:val="008265A5"/>
    <w:rsid w:val="00826C43"/>
    <w:rsid w:val="00826D2B"/>
    <w:rsid w:val="00826DEE"/>
    <w:rsid w:val="008272DF"/>
    <w:rsid w:val="00827658"/>
    <w:rsid w:val="00827A37"/>
    <w:rsid w:val="00827C1C"/>
    <w:rsid w:val="00827CF0"/>
    <w:rsid w:val="00831819"/>
    <w:rsid w:val="00831B7F"/>
    <w:rsid w:val="00832624"/>
    <w:rsid w:val="008332DE"/>
    <w:rsid w:val="00833327"/>
    <w:rsid w:val="00833A33"/>
    <w:rsid w:val="00833FBE"/>
    <w:rsid w:val="0083431B"/>
    <w:rsid w:val="00834452"/>
    <w:rsid w:val="00834991"/>
    <w:rsid w:val="00835523"/>
    <w:rsid w:val="00835620"/>
    <w:rsid w:val="0083587B"/>
    <w:rsid w:val="008362F3"/>
    <w:rsid w:val="008364A3"/>
    <w:rsid w:val="0083710A"/>
    <w:rsid w:val="00837CD1"/>
    <w:rsid w:val="008404BC"/>
    <w:rsid w:val="008411B4"/>
    <w:rsid w:val="0084168F"/>
    <w:rsid w:val="00841696"/>
    <w:rsid w:val="00841EF6"/>
    <w:rsid w:val="008427B4"/>
    <w:rsid w:val="008427F8"/>
    <w:rsid w:val="008427FA"/>
    <w:rsid w:val="008429C7"/>
    <w:rsid w:val="00844200"/>
    <w:rsid w:val="008445A3"/>
    <w:rsid w:val="008447F9"/>
    <w:rsid w:val="00844C60"/>
    <w:rsid w:val="00844D56"/>
    <w:rsid w:val="0084522B"/>
    <w:rsid w:val="00845400"/>
    <w:rsid w:val="008454AB"/>
    <w:rsid w:val="008454D7"/>
    <w:rsid w:val="008461EA"/>
    <w:rsid w:val="008466C0"/>
    <w:rsid w:val="00850719"/>
    <w:rsid w:val="00850C7F"/>
    <w:rsid w:val="00850D8C"/>
    <w:rsid w:val="0085128A"/>
    <w:rsid w:val="00852446"/>
    <w:rsid w:val="008529FD"/>
    <w:rsid w:val="00852A84"/>
    <w:rsid w:val="00852ED3"/>
    <w:rsid w:val="008548A0"/>
    <w:rsid w:val="00854F07"/>
    <w:rsid w:val="00854F30"/>
    <w:rsid w:val="00855057"/>
    <w:rsid w:val="0085530C"/>
    <w:rsid w:val="00855A6C"/>
    <w:rsid w:val="00855E0D"/>
    <w:rsid w:val="008563E1"/>
    <w:rsid w:val="008566C8"/>
    <w:rsid w:val="0085684D"/>
    <w:rsid w:val="0085692E"/>
    <w:rsid w:val="00857024"/>
    <w:rsid w:val="00857D8D"/>
    <w:rsid w:val="0086048A"/>
    <w:rsid w:val="008609B2"/>
    <w:rsid w:val="00860AA0"/>
    <w:rsid w:val="00860EB4"/>
    <w:rsid w:val="00860F35"/>
    <w:rsid w:val="00861303"/>
    <w:rsid w:val="00861ABD"/>
    <w:rsid w:val="00861C86"/>
    <w:rsid w:val="00862305"/>
    <w:rsid w:val="008624E7"/>
    <w:rsid w:val="008625FC"/>
    <w:rsid w:val="008627EF"/>
    <w:rsid w:val="00862CD5"/>
    <w:rsid w:val="00862E32"/>
    <w:rsid w:val="008638D0"/>
    <w:rsid w:val="00863B07"/>
    <w:rsid w:val="00864FEB"/>
    <w:rsid w:val="00865A0D"/>
    <w:rsid w:val="00866339"/>
    <w:rsid w:val="00866464"/>
    <w:rsid w:val="00866CB4"/>
    <w:rsid w:val="00867381"/>
    <w:rsid w:val="00867920"/>
    <w:rsid w:val="0086792C"/>
    <w:rsid w:val="00867B98"/>
    <w:rsid w:val="00870330"/>
    <w:rsid w:val="00870E9C"/>
    <w:rsid w:val="00871BF5"/>
    <w:rsid w:val="0087233A"/>
    <w:rsid w:val="008726FF"/>
    <w:rsid w:val="00872AD5"/>
    <w:rsid w:val="00874636"/>
    <w:rsid w:val="00874E98"/>
    <w:rsid w:val="00876E50"/>
    <w:rsid w:val="008771AE"/>
    <w:rsid w:val="00877E52"/>
    <w:rsid w:val="00880280"/>
    <w:rsid w:val="00880738"/>
    <w:rsid w:val="00880B9B"/>
    <w:rsid w:val="00880FB5"/>
    <w:rsid w:val="008810EF"/>
    <w:rsid w:val="0088121F"/>
    <w:rsid w:val="00881685"/>
    <w:rsid w:val="00881BDA"/>
    <w:rsid w:val="00881C55"/>
    <w:rsid w:val="00882C26"/>
    <w:rsid w:val="00883391"/>
    <w:rsid w:val="00883486"/>
    <w:rsid w:val="008834F7"/>
    <w:rsid w:val="008838D3"/>
    <w:rsid w:val="008840B5"/>
    <w:rsid w:val="0088433C"/>
    <w:rsid w:val="00884799"/>
    <w:rsid w:val="008849AF"/>
    <w:rsid w:val="00884EC2"/>
    <w:rsid w:val="0088526C"/>
    <w:rsid w:val="0088667A"/>
    <w:rsid w:val="00886713"/>
    <w:rsid w:val="00886763"/>
    <w:rsid w:val="00886A8A"/>
    <w:rsid w:val="00886FDB"/>
    <w:rsid w:val="008871F0"/>
    <w:rsid w:val="008879DB"/>
    <w:rsid w:val="00887A5C"/>
    <w:rsid w:val="0089017E"/>
    <w:rsid w:val="00890926"/>
    <w:rsid w:val="00890CBB"/>
    <w:rsid w:val="00891578"/>
    <w:rsid w:val="00891799"/>
    <w:rsid w:val="008928E4"/>
    <w:rsid w:val="00892A9F"/>
    <w:rsid w:val="00892E4C"/>
    <w:rsid w:val="0089317E"/>
    <w:rsid w:val="00894957"/>
    <w:rsid w:val="0089498C"/>
    <w:rsid w:val="00894AF4"/>
    <w:rsid w:val="008952B1"/>
    <w:rsid w:val="0089584B"/>
    <w:rsid w:val="00897728"/>
    <w:rsid w:val="00897E24"/>
    <w:rsid w:val="008A0DE5"/>
    <w:rsid w:val="008A1589"/>
    <w:rsid w:val="008A23E1"/>
    <w:rsid w:val="008A2AF8"/>
    <w:rsid w:val="008A2BAA"/>
    <w:rsid w:val="008A2D76"/>
    <w:rsid w:val="008A2F7E"/>
    <w:rsid w:val="008A373D"/>
    <w:rsid w:val="008A37D1"/>
    <w:rsid w:val="008A384B"/>
    <w:rsid w:val="008A46E0"/>
    <w:rsid w:val="008A5224"/>
    <w:rsid w:val="008A65B0"/>
    <w:rsid w:val="008B127B"/>
    <w:rsid w:val="008B1723"/>
    <w:rsid w:val="008B2078"/>
    <w:rsid w:val="008B2CB4"/>
    <w:rsid w:val="008B37F6"/>
    <w:rsid w:val="008B3BAF"/>
    <w:rsid w:val="008B43CF"/>
    <w:rsid w:val="008B445C"/>
    <w:rsid w:val="008B4747"/>
    <w:rsid w:val="008B4E37"/>
    <w:rsid w:val="008B5421"/>
    <w:rsid w:val="008B566E"/>
    <w:rsid w:val="008B58BB"/>
    <w:rsid w:val="008B5F08"/>
    <w:rsid w:val="008B64D5"/>
    <w:rsid w:val="008B6CF9"/>
    <w:rsid w:val="008B7071"/>
    <w:rsid w:val="008B7FC8"/>
    <w:rsid w:val="008C07EF"/>
    <w:rsid w:val="008C0894"/>
    <w:rsid w:val="008C1CE1"/>
    <w:rsid w:val="008C2AAA"/>
    <w:rsid w:val="008C2ABE"/>
    <w:rsid w:val="008C2F5B"/>
    <w:rsid w:val="008C33BA"/>
    <w:rsid w:val="008C3756"/>
    <w:rsid w:val="008C38AE"/>
    <w:rsid w:val="008C419C"/>
    <w:rsid w:val="008C4536"/>
    <w:rsid w:val="008C5291"/>
    <w:rsid w:val="008C55F1"/>
    <w:rsid w:val="008C5F15"/>
    <w:rsid w:val="008C629F"/>
    <w:rsid w:val="008C6E03"/>
    <w:rsid w:val="008C70C9"/>
    <w:rsid w:val="008C7AE6"/>
    <w:rsid w:val="008C7F3C"/>
    <w:rsid w:val="008D021D"/>
    <w:rsid w:val="008D084F"/>
    <w:rsid w:val="008D13FC"/>
    <w:rsid w:val="008D1BCD"/>
    <w:rsid w:val="008D1ECE"/>
    <w:rsid w:val="008D235F"/>
    <w:rsid w:val="008D26E1"/>
    <w:rsid w:val="008D2EF7"/>
    <w:rsid w:val="008D3181"/>
    <w:rsid w:val="008D370C"/>
    <w:rsid w:val="008D3B2E"/>
    <w:rsid w:val="008D3C0A"/>
    <w:rsid w:val="008D3D1E"/>
    <w:rsid w:val="008D3EB9"/>
    <w:rsid w:val="008D4199"/>
    <w:rsid w:val="008D4288"/>
    <w:rsid w:val="008D4644"/>
    <w:rsid w:val="008D47E9"/>
    <w:rsid w:val="008D4A8E"/>
    <w:rsid w:val="008D50DF"/>
    <w:rsid w:val="008D5702"/>
    <w:rsid w:val="008D5797"/>
    <w:rsid w:val="008D5BA2"/>
    <w:rsid w:val="008D6A7E"/>
    <w:rsid w:val="008D6A9E"/>
    <w:rsid w:val="008D6E3B"/>
    <w:rsid w:val="008D75AB"/>
    <w:rsid w:val="008D768B"/>
    <w:rsid w:val="008E032A"/>
    <w:rsid w:val="008E07D2"/>
    <w:rsid w:val="008E0B7B"/>
    <w:rsid w:val="008E0D73"/>
    <w:rsid w:val="008E0DEB"/>
    <w:rsid w:val="008E17F4"/>
    <w:rsid w:val="008E19CF"/>
    <w:rsid w:val="008E260D"/>
    <w:rsid w:val="008E26AF"/>
    <w:rsid w:val="008E27EF"/>
    <w:rsid w:val="008E347A"/>
    <w:rsid w:val="008E3CB7"/>
    <w:rsid w:val="008E4628"/>
    <w:rsid w:val="008E4FA3"/>
    <w:rsid w:val="008E599A"/>
    <w:rsid w:val="008E5D5B"/>
    <w:rsid w:val="008E5F96"/>
    <w:rsid w:val="008E615E"/>
    <w:rsid w:val="008E6649"/>
    <w:rsid w:val="008E6B40"/>
    <w:rsid w:val="008E6D57"/>
    <w:rsid w:val="008E6E3D"/>
    <w:rsid w:val="008E787B"/>
    <w:rsid w:val="008E78D9"/>
    <w:rsid w:val="008E7963"/>
    <w:rsid w:val="008F01F3"/>
    <w:rsid w:val="008F0247"/>
    <w:rsid w:val="008F066B"/>
    <w:rsid w:val="008F0AA9"/>
    <w:rsid w:val="008F13F0"/>
    <w:rsid w:val="008F1649"/>
    <w:rsid w:val="008F1A30"/>
    <w:rsid w:val="008F2856"/>
    <w:rsid w:val="008F29BC"/>
    <w:rsid w:val="008F2EA5"/>
    <w:rsid w:val="008F3642"/>
    <w:rsid w:val="008F4032"/>
    <w:rsid w:val="008F44EE"/>
    <w:rsid w:val="008F456E"/>
    <w:rsid w:val="008F5279"/>
    <w:rsid w:val="008F56ED"/>
    <w:rsid w:val="008F592B"/>
    <w:rsid w:val="008F6326"/>
    <w:rsid w:val="008F747E"/>
    <w:rsid w:val="00900498"/>
    <w:rsid w:val="00900D6A"/>
    <w:rsid w:val="00900E67"/>
    <w:rsid w:val="0090148C"/>
    <w:rsid w:val="009018F4"/>
    <w:rsid w:val="00901E58"/>
    <w:rsid w:val="009020E4"/>
    <w:rsid w:val="00903240"/>
    <w:rsid w:val="00903338"/>
    <w:rsid w:val="009051F3"/>
    <w:rsid w:val="009057CA"/>
    <w:rsid w:val="00905E71"/>
    <w:rsid w:val="00906400"/>
    <w:rsid w:val="00906479"/>
    <w:rsid w:val="009073D4"/>
    <w:rsid w:val="009079F6"/>
    <w:rsid w:val="009113E0"/>
    <w:rsid w:val="009114D4"/>
    <w:rsid w:val="0091150B"/>
    <w:rsid w:val="009122F9"/>
    <w:rsid w:val="00912D23"/>
    <w:rsid w:val="00912D75"/>
    <w:rsid w:val="009139BD"/>
    <w:rsid w:val="00914716"/>
    <w:rsid w:val="00914C70"/>
    <w:rsid w:val="00914EAB"/>
    <w:rsid w:val="00915527"/>
    <w:rsid w:val="0091669F"/>
    <w:rsid w:val="009169B2"/>
    <w:rsid w:val="00917505"/>
    <w:rsid w:val="0091783B"/>
    <w:rsid w:val="00920AFE"/>
    <w:rsid w:val="00920CC6"/>
    <w:rsid w:val="00921256"/>
    <w:rsid w:val="00921EF9"/>
    <w:rsid w:val="009227F1"/>
    <w:rsid w:val="0092320F"/>
    <w:rsid w:val="009237C3"/>
    <w:rsid w:val="009243BD"/>
    <w:rsid w:val="00924F68"/>
    <w:rsid w:val="00925566"/>
    <w:rsid w:val="00925E23"/>
    <w:rsid w:val="00926276"/>
    <w:rsid w:val="009268D8"/>
    <w:rsid w:val="00926B94"/>
    <w:rsid w:val="00926D6C"/>
    <w:rsid w:val="009270F9"/>
    <w:rsid w:val="00927290"/>
    <w:rsid w:val="00927364"/>
    <w:rsid w:val="00927657"/>
    <w:rsid w:val="00927700"/>
    <w:rsid w:val="009277D0"/>
    <w:rsid w:val="00927DDE"/>
    <w:rsid w:val="009313F9"/>
    <w:rsid w:val="00931642"/>
    <w:rsid w:val="00931A0B"/>
    <w:rsid w:val="0093228A"/>
    <w:rsid w:val="009324B4"/>
    <w:rsid w:val="00932A06"/>
    <w:rsid w:val="00932AC1"/>
    <w:rsid w:val="0093312E"/>
    <w:rsid w:val="00933A82"/>
    <w:rsid w:val="00933F75"/>
    <w:rsid w:val="009348F7"/>
    <w:rsid w:val="0093497A"/>
    <w:rsid w:val="00934A15"/>
    <w:rsid w:val="00934E30"/>
    <w:rsid w:val="009350F1"/>
    <w:rsid w:val="00935398"/>
    <w:rsid w:val="0093543A"/>
    <w:rsid w:val="00935B04"/>
    <w:rsid w:val="00936075"/>
    <w:rsid w:val="00936A0B"/>
    <w:rsid w:val="00936E57"/>
    <w:rsid w:val="00936E65"/>
    <w:rsid w:val="00937281"/>
    <w:rsid w:val="00937297"/>
    <w:rsid w:val="009376C2"/>
    <w:rsid w:val="00937AD9"/>
    <w:rsid w:val="009406FB"/>
    <w:rsid w:val="00940AB9"/>
    <w:rsid w:val="00940B96"/>
    <w:rsid w:val="00941108"/>
    <w:rsid w:val="00941430"/>
    <w:rsid w:val="009415F5"/>
    <w:rsid w:val="0094186B"/>
    <w:rsid w:val="00941BF1"/>
    <w:rsid w:val="009422E6"/>
    <w:rsid w:val="00942C34"/>
    <w:rsid w:val="009436E1"/>
    <w:rsid w:val="00944864"/>
    <w:rsid w:val="0094612E"/>
    <w:rsid w:val="00946BD2"/>
    <w:rsid w:val="00947501"/>
    <w:rsid w:val="00951BEB"/>
    <w:rsid w:val="00952362"/>
    <w:rsid w:val="009524F9"/>
    <w:rsid w:val="00952603"/>
    <w:rsid w:val="00953EDE"/>
    <w:rsid w:val="009540E1"/>
    <w:rsid w:val="00954663"/>
    <w:rsid w:val="009547EF"/>
    <w:rsid w:val="00954AAA"/>
    <w:rsid w:val="009552CC"/>
    <w:rsid w:val="009566C0"/>
    <w:rsid w:val="00956CB1"/>
    <w:rsid w:val="00957147"/>
    <w:rsid w:val="009572D8"/>
    <w:rsid w:val="00957AB2"/>
    <w:rsid w:val="00957B10"/>
    <w:rsid w:val="00957C6D"/>
    <w:rsid w:val="00957F88"/>
    <w:rsid w:val="0096092F"/>
    <w:rsid w:val="00960CB8"/>
    <w:rsid w:val="00960F14"/>
    <w:rsid w:val="00960F4F"/>
    <w:rsid w:val="00961F45"/>
    <w:rsid w:val="00963839"/>
    <w:rsid w:val="00963B04"/>
    <w:rsid w:val="0096531A"/>
    <w:rsid w:val="00965375"/>
    <w:rsid w:val="00965789"/>
    <w:rsid w:val="00965843"/>
    <w:rsid w:val="00966380"/>
    <w:rsid w:val="00966EFB"/>
    <w:rsid w:val="009671B6"/>
    <w:rsid w:val="00967913"/>
    <w:rsid w:val="00967B27"/>
    <w:rsid w:val="0097007E"/>
    <w:rsid w:val="0097011F"/>
    <w:rsid w:val="0097033C"/>
    <w:rsid w:val="00971360"/>
    <w:rsid w:val="00971734"/>
    <w:rsid w:val="00972099"/>
    <w:rsid w:val="0097272F"/>
    <w:rsid w:val="00972B4D"/>
    <w:rsid w:val="00973BFA"/>
    <w:rsid w:val="00973DBD"/>
    <w:rsid w:val="00975762"/>
    <w:rsid w:val="00975B4B"/>
    <w:rsid w:val="00976509"/>
    <w:rsid w:val="00976D61"/>
    <w:rsid w:val="0097719F"/>
    <w:rsid w:val="009777FB"/>
    <w:rsid w:val="00977870"/>
    <w:rsid w:val="00977C76"/>
    <w:rsid w:val="009800F0"/>
    <w:rsid w:val="00981D81"/>
    <w:rsid w:val="00981FD0"/>
    <w:rsid w:val="009821D7"/>
    <w:rsid w:val="00982914"/>
    <w:rsid w:val="00982F94"/>
    <w:rsid w:val="0098411B"/>
    <w:rsid w:val="009845A7"/>
    <w:rsid w:val="0098484B"/>
    <w:rsid w:val="00984B3A"/>
    <w:rsid w:val="009852B1"/>
    <w:rsid w:val="0098559A"/>
    <w:rsid w:val="0098685C"/>
    <w:rsid w:val="00986944"/>
    <w:rsid w:val="00986D29"/>
    <w:rsid w:val="009875ED"/>
    <w:rsid w:val="00987661"/>
    <w:rsid w:val="00987740"/>
    <w:rsid w:val="00987887"/>
    <w:rsid w:val="0099085E"/>
    <w:rsid w:val="00990B31"/>
    <w:rsid w:val="009910F6"/>
    <w:rsid w:val="009912B0"/>
    <w:rsid w:val="00991622"/>
    <w:rsid w:val="00991E78"/>
    <w:rsid w:val="00993E8F"/>
    <w:rsid w:val="009940CB"/>
    <w:rsid w:val="009946FC"/>
    <w:rsid w:val="0099567A"/>
    <w:rsid w:val="00995A16"/>
    <w:rsid w:val="00995C68"/>
    <w:rsid w:val="00995D36"/>
    <w:rsid w:val="00996641"/>
    <w:rsid w:val="00996E1D"/>
    <w:rsid w:val="00996E60"/>
    <w:rsid w:val="00996FEC"/>
    <w:rsid w:val="009971CF"/>
    <w:rsid w:val="009A001C"/>
    <w:rsid w:val="009A0746"/>
    <w:rsid w:val="009A0D66"/>
    <w:rsid w:val="009A0E24"/>
    <w:rsid w:val="009A0EA1"/>
    <w:rsid w:val="009A1516"/>
    <w:rsid w:val="009A1A17"/>
    <w:rsid w:val="009A2B31"/>
    <w:rsid w:val="009A2BB6"/>
    <w:rsid w:val="009A2F34"/>
    <w:rsid w:val="009A30D0"/>
    <w:rsid w:val="009A356F"/>
    <w:rsid w:val="009A37ED"/>
    <w:rsid w:val="009A38D2"/>
    <w:rsid w:val="009A3A4A"/>
    <w:rsid w:val="009A3F80"/>
    <w:rsid w:val="009A4259"/>
    <w:rsid w:val="009A5458"/>
    <w:rsid w:val="009A5EA1"/>
    <w:rsid w:val="009A5F35"/>
    <w:rsid w:val="009A6C8D"/>
    <w:rsid w:val="009A6FDD"/>
    <w:rsid w:val="009A7A37"/>
    <w:rsid w:val="009A7C52"/>
    <w:rsid w:val="009B0B0F"/>
    <w:rsid w:val="009B0D37"/>
    <w:rsid w:val="009B0D47"/>
    <w:rsid w:val="009B1075"/>
    <w:rsid w:val="009B1C4E"/>
    <w:rsid w:val="009B1F9D"/>
    <w:rsid w:val="009B237F"/>
    <w:rsid w:val="009B2916"/>
    <w:rsid w:val="009B2B93"/>
    <w:rsid w:val="009B3685"/>
    <w:rsid w:val="009B3B24"/>
    <w:rsid w:val="009B3B7C"/>
    <w:rsid w:val="009B503E"/>
    <w:rsid w:val="009B5375"/>
    <w:rsid w:val="009B53C3"/>
    <w:rsid w:val="009B5930"/>
    <w:rsid w:val="009B5A76"/>
    <w:rsid w:val="009B5B69"/>
    <w:rsid w:val="009B5B87"/>
    <w:rsid w:val="009B7E23"/>
    <w:rsid w:val="009C0025"/>
    <w:rsid w:val="009C09E7"/>
    <w:rsid w:val="009C0C74"/>
    <w:rsid w:val="009C1233"/>
    <w:rsid w:val="009C19EB"/>
    <w:rsid w:val="009C1E4B"/>
    <w:rsid w:val="009C2D3D"/>
    <w:rsid w:val="009C2FFD"/>
    <w:rsid w:val="009C32F6"/>
    <w:rsid w:val="009C3567"/>
    <w:rsid w:val="009C35E2"/>
    <w:rsid w:val="009C3EC7"/>
    <w:rsid w:val="009C4DAF"/>
    <w:rsid w:val="009C5662"/>
    <w:rsid w:val="009C6641"/>
    <w:rsid w:val="009C66E3"/>
    <w:rsid w:val="009C68CE"/>
    <w:rsid w:val="009C69CE"/>
    <w:rsid w:val="009C6CC0"/>
    <w:rsid w:val="009C708C"/>
    <w:rsid w:val="009C7BC1"/>
    <w:rsid w:val="009C7C7E"/>
    <w:rsid w:val="009C7D08"/>
    <w:rsid w:val="009D06F9"/>
    <w:rsid w:val="009D08FB"/>
    <w:rsid w:val="009D0E48"/>
    <w:rsid w:val="009D14EB"/>
    <w:rsid w:val="009D1699"/>
    <w:rsid w:val="009D195C"/>
    <w:rsid w:val="009D2506"/>
    <w:rsid w:val="009D274F"/>
    <w:rsid w:val="009D4798"/>
    <w:rsid w:val="009D496B"/>
    <w:rsid w:val="009D54F0"/>
    <w:rsid w:val="009D5E34"/>
    <w:rsid w:val="009D6047"/>
    <w:rsid w:val="009D6B46"/>
    <w:rsid w:val="009D71A8"/>
    <w:rsid w:val="009D76FB"/>
    <w:rsid w:val="009E014E"/>
    <w:rsid w:val="009E09A3"/>
    <w:rsid w:val="009E0B35"/>
    <w:rsid w:val="009E1933"/>
    <w:rsid w:val="009E35DC"/>
    <w:rsid w:val="009E367F"/>
    <w:rsid w:val="009E3C95"/>
    <w:rsid w:val="009E3D86"/>
    <w:rsid w:val="009E4AAC"/>
    <w:rsid w:val="009E4CF5"/>
    <w:rsid w:val="009E4F75"/>
    <w:rsid w:val="009E5141"/>
    <w:rsid w:val="009E5769"/>
    <w:rsid w:val="009E590E"/>
    <w:rsid w:val="009E5CC0"/>
    <w:rsid w:val="009E5CC5"/>
    <w:rsid w:val="009E5D22"/>
    <w:rsid w:val="009E633B"/>
    <w:rsid w:val="009E66D5"/>
    <w:rsid w:val="009E6CE3"/>
    <w:rsid w:val="009E6D73"/>
    <w:rsid w:val="009F0DF3"/>
    <w:rsid w:val="009F1187"/>
    <w:rsid w:val="009F147A"/>
    <w:rsid w:val="009F1A5C"/>
    <w:rsid w:val="009F1FF0"/>
    <w:rsid w:val="009F363B"/>
    <w:rsid w:val="009F37E1"/>
    <w:rsid w:val="009F42D6"/>
    <w:rsid w:val="009F5568"/>
    <w:rsid w:val="009F6205"/>
    <w:rsid w:val="009F6289"/>
    <w:rsid w:val="009F669E"/>
    <w:rsid w:val="009F6DC8"/>
    <w:rsid w:val="009F727E"/>
    <w:rsid w:val="009F73D1"/>
    <w:rsid w:val="009F73F4"/>
    <w:rsid w:val="009F768F"/>
    <w:rsid w:val="009F789B"/>
    <w:rsid w:val="00A00192"/>
    <w:rsid w:val="00A011C8"/>
    <w:rsid w:val="00A01343"/>
    <w:rsid w:val="00A01EC2"/>
    <w:rsid w:val="00A01FE1"/>
    <w:rsid w:val="00A024D7"/>
    <w:rsid w:val="00A0359F"/>
    <w:rsid w:val="00A0360D"/>
    <w:rsid w:val="00A040A4"/>
    <w:rsid w:val="00A0434C"/>
    <w:rsid w:val="00A04DDE"/>
    <w:rsid w:val="00A054BE"/>
    <w:rsid w:val="00A05537"/>
    <w:rsid w:val="00A0578E"/>
    <w:rsid w:val="00A05B8E"/>
    <w:rsid w:val="00A05C04"/>
    <w:rsid w:val="00A06CB5"/>
    <w:rsid w:val="00A108E7"/>
    <w:rsid w:val="00A1105F"/>
    <w:rsid w:val="00A1124E"/>
    <w:rsid w:val="00A11592"/>
    <w:rsid w:val="00A119A6"/>
    <w:rsid w:val="00A119EE"/>
    <w:rsid w:val="00A120AB"/>
    <w:rsid w:val="00A124B1"/>
    <w:rsid w:val="00A126E0"/>
    <w:rsid w:val="00A12868"/>
    <w:rsid w:val="00A136A4"/>
    <w:rsid w:val="00A13B4E"/>
    <w:rsid w:val="00A13D94"/>
    <w:rsid w:val="00A14A9E"/>
    <w:rsid w:val="00A15BBD"/>
    <w:rsid w:val="00A15D77"/>
    <w:rsid w:val="00A15F48"/>
    <w:rsid w:val="00A162AB"/>
    <w:rsid w:val="00A16711"/>
    <w:rsid w:val="00A167D7"/>
    <w:rsid w:val="00A16994"/>
    <w:rsid w:val="00A16D87"/>
    <w:rsid w:val="00A1772A"/>
    <w:rsid w:val="00A17839"/>
    <w:rsid w:val="00A17CFC"/>
    <w:rsid w:val="00A17FA0"/>
    <w:rsid w:val="00A20214"/>
    <w:rsid w:val="00A20D69"/>
    <w:rsid w:val="00A210D5"/>
    <w:rsid w:val="00A21534"/>
    <w:rsid w:val="00A219EB"/>
    <w:rsid w:val="00A2272C"/>
    <w:rsid w:val="00A24000"/>
    <w:rsid w:val="00A240B4"/>
    <w:rsid w:val="00A24DB3"/>
    <w:rsid w:val="00A24E79"/>
    <w:rsid w:val="00A2549D"/>
    <w:rsid w:val="00A262CD"/>
    <w:rsid w:val="00A26823"/>
    <w:rsid w:val="00A27C1F"/>
    <w:rsid w:val="00A300A5"/>
    <w:rsid w:val="00A305AE"/>
    <w:rsid w:val="00A30939"/>
    <w:rsid w:val="00A30B9F"/>
    <w:rsid w:val="00A30D78"/>
    <w:rsid w:val="00A30E99"/>
    <w:rsid w:val="00A3131A"/>
    <w:rsid w:val="00A322AF"/>
    <w:rsid w:val="00A323D1"/>
    <w:rsid w:val="00A324B4"/>
    <w:rsid w:val="00A32E79"/>
    <w:rsid w:val="00A33331"/>
    <w:rsid w:val="00A33C32"/>
    <w:rsid w:val="00A33DAF"/>
    <w:rsid w:val="00A34C95"/>
    <w:rsid w:val="00A35E3C"/>
    <w:rsid w:val="00A35F7B"/>
    <w:rsid w:val="00A363C9"/>
    <w:rsid w:val="00A36804"/>
    <w:rsid w:val="00A36917"/>
    <w:rsid w:val="00A36AAE"/>
    <w:rsid w:val="00A37715"/>
    <w:rsid w:val="00A40001"/>
    <w:rsid w:val="00A402D3"/>
    <w:rsid w:val="00A4043D"/>
    <w:rsid w:val="00A40619"/>
    <w:rsid w:val="00A40A91"/>
    <w:rsid w:val="00A4112D"/>
    <w:rsid w:val="00A418CF"/>
    <w:rsid w:val="00A41B05"/>
    <w:rsid w:val="00A42360"/>
    <w:rsid w:val="00A423A4"/>
    <w:rsid w:val="00A424C9"/>
    <w:rsid w:val="00A435EC"/>
    <w:rsid w:val="00A4398F"/>
    <w:rsid w:val="00A43AD5"/>
    <w:rsid w:val="00A43B92"/>
    <w:rsid w:val="00A44084"/>
    <w:rsid w:val="00A44A44"/>
    <w:rsid w:val="00A44A93"/>
    <w:rsid w:val="00A44F8E"/>
    <w:rsid w:val="00A452DC"/>
    <w:rsid w:val="00A4563F"/>
    <w:rsid w:val="00A45AFF"/>
    <w:rsid w:val="00A45DF0"/>
    <w:rsid w:val="00A45E43"/>
    <w:rsid w:val="00A4767E"/>
    <w:rsid w:val="00A479BB"/>
    <w:rsid w:val="00A507A4"/>
    <w:rsid w:val="00A508B2"/>
    <w:rsid w:val="00A50DBB"/>
    <w:rsid w:val="00A51872"/>
    <w:rsid w:val="00A51EE4"/>
    <w:rsid w:val="00A520A5"/>
    <w:rsid w:val="00A521DE"/>
    <w:rsid w:val="00A52450"/>
    <w:rsid w:val="00A52455"/>
    <w:rsid w:val="00A527C9"/>
    <w:rsid w:val="00A52CEA"/>
    <w:rsid w:val="00A53701"/>
    <w:rsid w:val="00A53CF3"/>
    <w:rsid w:val="00A53F62"/>
    <w:rsid w:val="00A5492E"/>
    <w:rsid w:val="00A55A24"/>
    <w:rsid w:val="00A55B56"/>
    <w:rsid w:val="00A55BCA"/>
    <w:rsid w:val="00A55D7E"/>
    <w:rsid w:val="00A562F2"/>
    <w:rsid w:val="00A565C5"/>
    <w:rsid w:val="00A56E27"/>
    <w:rsid w:val="00A57612"/>
    <w:rsid w:val="00A57C10"/>
    <w:rsid w:val="00A57DE5"/>
    <w:rsid w:val="00A6007C"/>
    <w:rsid w:val="00A60752"/>
    <w:rsid w:val="00A60B26"/>
    <w:rsid w:val="00A60E18"/>
    <w:rsid w:val="00A61194"/>
    <w:rsid w:val="00A61B61"/>
    <w:rsid w:val="00A6205C"/>
    <w:rsid w:val="00A62533"/>
    <w:rsid w:val="00A626DA"/>
    <w:rsid w:val="00A62A4C"/>
    <w:rsid w:val="00A62EAE"/>
    <w:rsid w:val="00A6308E"/>
    <w:rsid w:val="00A651E1"/>
    <w:rsid w:val="00A65573"/>
    <w:rsid w:val="00A655EC"/>
    <w:rsid w:val="00A65772"/>
    <w:rsid w:val="00A669AD"/>
    <w:rsid w:val="00A66AC9"/>
    <w:rsid w:val="00A67465"/>
    <w:rsid w:val="00A70495"/>
    <w:rsid w:val="00A70650"/>
    <w:rsid w:val="00A70995"/>
    <w:rsid w:val="00A70BF0"/>
    <w:rsid w:val="00A70E48"/>
    <w:rsid w:val="00A71130"/>
    <w:rsid w:val="00A71299"/>
    <w:rsid w:val="00A71317"/>
    <w:rsid w:val="00A7144F"/>
    <w:rsid w:val="00A714A5"/>
    <w:rsid w:val="00A71D69"/>
    <w:rsid w:val="00A721B6"/>
    <w:rsid w:val="00A7245D"/>
    <w:rsid w:val="00A72A14"/>
    <w:rsid w:val="00A72C4B"/>
    <w:rsid w:val="00A73BF3"/>
    <w:rsid w:val="00A7419A"/>
    <w:rsid w:val="00A74572"/>
    <w:rsid w:val="00A74A67"/>
    <w:rsid w:val="00A74EF7"/>
    <w:rsid w:val="00A753FB"/>
    <w:rsid w:val="00A7691D"/>
    <w:rsid w:val="00A76EFE"/>
    <w:rsid w:val="00A80ED8"/>
    <w:rsid w:val="00A8103E"/>
    <w:rsid w:val="00A8207A"/>
    <w:rsid w:val="00A82317"/>
    <w:rsid w:val="00A82372"/>
    <w:rsid w:val="00A82A20"/>
    <w:rsid w:val="00A82DD6"/>
    <w:rsid w:val="00A83447"/>
    <w:rsid w:val="00A8397F"/>
    <w:rsid w:val="00A840B3"/>
    <w:rsid w:val="00A84429"/>
    <w:rsid w:val="00A846FA"/>
    <w:rsid w:val="00A8480C"/>
    <w:rsid w:val="00A84B5D"/>
    <w:rsid w:val="00A85A4F"/>
    <w:rsid w:val="00A85AD3"/>
    <w:rsid w:val="00A86A2F"/>
    <w:rsid w:val="00A870E2"/>
    <w:rsid w:val="00A87218"/>
    <w:rsid w:val="00A877D7"/>
    <w:rsid w:val="00A87AB0"/>
    <w:rsid w:val="00A90638"/>
    <w:rsid w:val="00A9063A"/>
    <w:rsid w:val="00A9094B"/>
    <w:rsid w:val="00A909AC"/>
    <w:rsid w:val="00A90B12"/>
    <w:rsid w:val="00A90B94"/>
    <w:rsid w:val="00A90C29"/>
    <w:rsid w:val="00A9119A"/>
    <w:rsid w:val="00A9143E"/>
    <w:rsid w:val="00A91480"/>
    <w:rsid w:val="00A91C25"/>
    <w:rsid w:val="00A91D9D"/>
    <w:rsid w:val="00A91E24"/>
    <w:rsid w:val="00A92028"/>
    <w:rsid w:val="00A923C9"/>
    <w:rsid w:val="00A92A5B"/>
    <w:rsid w:val="00A92F16"/>
    <w:rsid w:val="00A937FA"/>
    <w:rsid w:val="00A93D0C"/>
    <w:rsid w:val="00A93E49"/>
    <w:rsid w:val="00A93FA0"/>
    <w:rsid w:val="00A945F1"/>
    <w:rsid w:val="00A94D45"/>
    <w:rsid w:val="00A951DC"/>
    <w:rsid w:val="00A9524D"/>
    <w:rsid w:val="00A954DA"/>
    <w:rsid w:val="00A95C55"/>
    <w:rsid w:val="00A95FFC"/>
    <w:rsid w:val="00A96363"/>
    <w:rsid w:val="00A96C50"/>
    <w:rsid w:val="00A9706D"/>
    <w:rsid w:val="00A9735D"/>
    <w:rsid w:val="00A97A76"/>
    <w:rsid w:val="00A97CFB"/>
    <w:rsid w:val="00A97F8F"/>
    <w:rsid w:val="00AA040B"/>
    <w:rsid w:val="00AA25A5"/>
    <w:rsid w:val="00AA264E"/>
    <w:rsid w:val="00AA26F5"/>
    <w:rsid w:val="00AA3299"/>
    <w:rsid w:val="00AA40A9"/>
    <w:rsid w:val="00AA4142"/>
    <w:rsid w:val="00AA4625"/>
    <w:rsid w:val="00AA46F7"/>
    <w:rsid w:val="00AA4B02"/>
    <w:rsid w:val="00AA5764"/>
    <w:rsid w:val="00AA5833"/>
    <w:rsid w:val="00AA58EE"/>
    <w:rsid w:val="00AA5C93"/>
    <w:rsid w:val="00AA6537"/>
    <w:rsid w:val="00AB0255"/>
    <w:rsid w:val="00AB0314"/>
    <w:rsid w:val="00AB044B"/>
    <w:rsid w:val="00AB0636"/>
    <w:rsid w:val="00AB08C8"/>
    <w:rsid w:val="00AB0A45"/>
    <w:rsid w:val="00AB0BAB"/>
    <w:rsid w:val="00AB216A"/>
    <w:rsid w:val="00AB2B3A"/>
    <w:rsid w:val="00AB34E3"/>
    <w:rsid w:val="00AB38B0"/>
    <w:rsid w:val="00AB4143"/>
    <w:rsid w:val="00AB4734"/>
    <w:rsid w:val="00AB4749"/>
    <w:rsid w:val="00AB49B5"/>
    <w:rsid w:val="00AB4DF8"/>
    <w:rsid w:val="00AB4F75"/>
    <w:rsid w:val="00AB5045"/>
    <w:rsid w:val="00AB5495"/>
    <w:rsid w:val="00AB5B40"/>
    <w:rsid w:val="00AB5C6F"/>
    <w:rsid w:val="00AB608B"/>
    <w:rsid w:val="00AB63D4"/>
    <w:rsid w:val="00AB653F"/>
    <w:rsid w:val="00AB674A"/>
    <w:rsid w:val="00AB69A3"/>
    <w:rsid w:val="00AB78C0"/>
    <w:rsid w:val="00AB7B90"/>
    <w:rsid w:val="00AB7C7E"/>
    <w:rsid w:val="00AC02A2"/>
    <w:rsid w:val="00AC0E29"/>
    <w:rsid w:val="00AC152B"/>
    <w:rsid w:val="00AC15F7"/>
    <w:rsid w:val="00AC1CA6"/>
    <w:rsid w:val="00AC1FD0"/>
    <w:rsid w:val="00AC23FF"/>
    <w:rsid w:val="00AC30B3"/>
    <w:rsid w:val="00AC34AB"/>
    <w:rsid w:val="00AC35D9"/>
    <w:rsid w:val="00AC377E"/>
    <w:rsid w:val="00AC37D4"/>
    <w:rsid w:val="00AC3DEC"/>
    <w:rsid w:val="00AC4245"/>
    <w:rsid w:val="00AC4283"/>
    <w:rsid w:val="00AC6163"/>
    <w:rsid w:val="00AC628F"/>
    <w:rsid w:val="00AC63B9"/>
    <w:rsid w:val="00AC64BA"/>
    <w:rsid w:val="00AC6620"/>
    <w:rsid w:val="00AC6F6D"/>
    <w:rsid w:val="00AC7459"/>
    <w:rsid w:val="00AC79B6"/>
    <w:rsid w:val="00AD0147"/>
    <w:rsid w:val="00AD0588"/>
    <w:rsid w:val="00AD06B5"/>
    <w:rsid w:val="00AD0CFA"/>
    <w:rsid w:val="00AD0D36"/>
    <w:rsid w:val="00AD11A2"/>
    <w:rsid w:val="00AD127F"/>
    <w:rsid w:val="00AD1383"/>
    <w:rsid w:val="00AD2510"/>
    <w:rsid w:val="00AD33EF"/>
    <w:rsid w:val="00AD384D"/>
    <w:rsid w:val="00AD3BFF"/>
    <w:rsid w:val="00AD4ADD"/>
    <w:rsid w:val="00AD547A"/>
    <w:rsid w:val="00AD5C57"/>
    <w:rsid w:val="00AD5CAA"/>
    <w:rsid w:val="00AD66A0"/>
    <w:rsid w:val="00AD6799"/>
    <w:rsid w:val="00AD7684"/>
    <w:rsid w:val="00AD7BBA"/>
    <w:rsid w:val="00AE03E5"/>
    <w:rsid w:val="00AE32B0"/>
    <w:rsid w:val="00AE343B"/>
    <w:rsid w:val="00AE3753"/>
    <w:rsid w:val="00AE38E1"/>
    <w:rsid w:val="00AE5F33"/>
    <w:rsid w:val="00AE6009"/>
    <w:rsid w:val="00AE644B"/>
    <w:rsid w:val="00AE6FAE"/>
    <w:rsid w:val="00AE71A7"/>
    <w:rsid w:val="00AE7D3D"/>
    <w:rsid w:val="00AF0220"/>
    <w:rsid w:val="00AF0585"/>
    <w:rsid w:val="00AF0E9B"/>
    <w:rsid w:val="00AF10B1"/>
    <w:rsid w:val="00AF1137"/>
    <w:rsid w:val="00AF1B8D"/>
    <w:rsid w:val="00AF1C95"/>
    <w:rsid w:val="00AF21B1"/>
    <w:rsid w:val="00AF23D0"/>
    <w:rsid w:val="00AF2A17"/>
    <w:rsid w:val="00AF2FCC"/>
    <w:rsid w:val="00AF30D7"/>
    <w:rsid w:val="00AF33DC"/>
    <w:rsid w:val="00AF3516"/>
    <w:rsid w:val="00AF583C"/>
    <w:rsid w:val="00AF5968"/>
    <w:rsid w:val="00AF6A4C"/>
    <w:rsid w:val="00AF7D2B"/>
    <w:rsid w:val="00AF7EB7"/>
    <w:rsid w:val="00AF7FF3"/>
    <w:rsid w:val="00B00284"/>
    <w:rsid w:val="00B0095B"/>
    <w:rsid w:val="00B0139D"/>
    <w:rsid w:val="00B01A72"/>
    <w:rsid w:val="00B01EFF"/>
    <w:rsid w:val="00B02765"/>
    <w:rsid w:val="00B02A0E"/>
    <w:rsid w:val="00B02E30"/>
    <w:rsid w:val="00B03BF2"/>
    <w:rsid w:val="00B046A6"/>
    <w:rsid w:val="00B04886"/>
    <w:rsid w:val="00B04B4D"/>
    <w:rsid w:val="00B05D72"/>
    <w:rsid w:val="00B060D7"/>
    <w:rsid w:val="00B072C8"/>
    <w:rsid w:val="00B074B2"/>
    <w:rsid w:val="00B07D99"/>
    <w:rsid w:val="00B102C5"/>
    <w:rsid w:val="00B110CF"/>
    <w:rsid w:val="00B1210A"/>
    <w:rsid w:val="00B121F8"/>
    <w:rsid w:val="00B1231D"/>
    <w:rsid w:val="00B125AA"/>
    <w:rsid w:val="00B12D38"/>
    <w:rsid w:val="00B12F77"/>
    <w:rsid w:val="00B13EE1"/>
    <w:rsid w:val="00B146A5"/>
    <w:rsid w:val="00B1498E"/>
    <w:rsid w:val="00B14D23"/>
    <w:rsid w:val="00B15259"/>
    <w:rsid w:val="00B1527C"/>
    <w:rsid w:val="00B1612D"/>
    <w:rsid w:val="00B1614D"/>
    <w:rsid w:val="00B16602"/>
    <w:rsid w:val="00B16612"/>
    <w:rsid w:val="00B16E81"/>
    <w:rsid w:val="00B16F7E"/>
    <w:rsid w:val="00B176A3"/>
    <w:rsid w:val="00B17811"/>
    <w:rsid w:val="00B201CC"/>
    <w:rsid w:val="00B2054B"/>
    <w:rsid w:val="00B2149F"/>
    <w:rsid w:val="00B216A3"/>
    <w:rsid w:val="00B219CE"/>
    <w:rsid w:val="00B22548"/>
    <w:rsid w:val="00B22D8C"/>
    <w:rsid w:val="00B236E7"/>
    <w:rsid w:val="00B23801"/>
    <w:rsid w:val="00B238BE"/>
    <w:rsid w:val="00B239E6"/>
    <w:rsid w:val="00B23B8B"/>
    <w:rsid w:val="00B25207"/>
    <w:rsid w:val="00B257E3"/>
    <w:rsid w:val="00B259A1"/>
    <w:rsid w:val="00B25A2F"/>
    <w:rsid w:val="00B269D2"/>
    <w:rsid w:val="00B26D0E"/>
    <w:rsid w:val="00B27DF6"/>
    <w:rsid w:val="00B303C5"/>
    <w:rsid w:val="00B30B77"/>
    <w:rsid w:val="00B31121"/>
    <w:rsid w:val="00B313B0"/>
    <w:rsid w:val="00B31B2A"/>
    <w:rsid w:val="00B31D36"/>
    <w:rsid w:val="00B32253"/>
    <w:rsid w:val="00B33BE5"/>
    <w:rsid w:val="00B34C3E"/>
    <w:rsid w:val="00B34E64"/>
    <w:rsid w:val="00B3706C"/>
    <w:rsid w:val="00B3736D"/>
    <w:rsid w:val="00B3744F"/>
    <w:rsid w:val="00B41374"/>
    <w:rsid w:val="00B41693"/>
    <w:rsid w:val="00B41F15"/>
    <w:rsid w:val="00B4214C"/>
    <w:rsid w:val="00B427D8"/>
    <w:rsid w:val="00B435BC"/>
    <w:rsid w:val="00B43C2F"/>
    <w:rsid w:val="00B442DA"/>
    <w:rsid w:val="00B44E6C"/>
    <w:rsid w:val="00B45EB2"/>
    <w:rsid w:val="00B45F91"/>
    <w:rsid w:val="00B46A5E"/>
    <w:rsid w:val="00B46FEA"/>
    <w:rsid w:val="00B471E6"/>
    <w:rsid w:val="00B478E8"/>
    <w:rsid w:val="00B47E13"/>
    <w:rsid w:val="00B47EAE"/>
    <w:rsid w:val="00B52184"/>
    <w:rsid w:val="00B52313"/>
    <w:rsid w:val="00B52836"/>
    <w:rsid w:val="00B52FB2"/>
    <w:rsid w:val="00B541F6"/>
    <w:rsid w:val="00B55668"/>
    <w:rsid w:val="00B55E3C"/>
    <w:rsid w:val="00B56479"/>
    <w:rsid w:val="00B56635"/>
    <w:rsid w:val="00B56779"/>
    <w:rsid w:val="00B56CF3"/>
    <w:rsid w:val="00B574D6"/>
    <w:rsid w:val="00B57885"/>
    <w:rsid w:val="00B60715"/>
    <w:rsid w:val="00B60F2E"/>
    <w:rsid w:val="00B60FB6"/>
    <w:rsid w:val="00B612F0"/>
    <w:rsid w:val="00B61446"/>
    <w:rsid w:val="00B61563"/>
    <w:rsid w:val="00B61BB3"/>
    <w:rsid w:val="00B63F49"/>
    <w:rsid w:val="00B640F2"/>
    <w:rsid w:val="00B64694"/>
    <w:rsid w:val="00B66431"/>
    <w:rsid w:val="00B66F7D"/>
    <w:rsid w:val="00B67015"/>
    <w:rsid w:val="00B67335"/>
    <w:rsid w:val="00B675C1"/>
    <w:rsid w:val="00B701E2"/>
    <w:rsid w:val="00B703C5"/>
    <w:rsid w:val="00B708FB"/>
    <w:rsid w:val="00B70C41"/>
    <w:rsid w:val="00B70F64"/>
    <w:rsid w:val="00B7121A"/>
    <w:rsid w:val="00B71228"/>
    <w:rsid w:val="00B7170B"/>
    <w:rsid w:val="00B723E1"/>
    <w:rsid w:val="00B72585"/>
    <w:rsid w:val="00B7323D"/>
    <w:rsid w:val="00B733CF"/>
    <w:rsid w:val="00B739E4"/>
    <w:rsid w:val="00B73B2D"/>
    <w:rsid w:val="00B73F09"/>
    <w:rsid w:val="00B74148"/>
    <w:rsid w:val="00B7416D"/>
    <w:rsid w:val="00B74383"/>
    <w:rsid w:val="00B74555"/>
    <w:rsid w:val="00B75345"/>
    <w:rsid w:val="00B75C3C"/>
    <w:rsid w:val="00B76963"/>
    <w:rsid w:val="00B76F0A"/>
    <w:rsid w:val="00B77ABC"/>
    <w:rsid w:val="00B77DE0"/>
    <w:rsid w:val="00B80090"/>
    <w:rsid w:val="00B800D2"/>
    <w:rsid w:val="00B80651"/>
    <w:rsid w:val="00B807AA"/>
    <w:rsid w:val="00B80994"/>
    <w:rsid w:val="00B8132B"/>
    <w:rsid w:val="00B816A8"/>
    <w:rsid w:val="00B81BC7"/>
    <w:rsid w:val="00B82177"/>
    <w:rsid w:val="00B822CA"/>
    <w:rsid w:val="00B83204"/>
    <w:rsid w:val="00B83847"/>
    <w:rsid w:val="00B843A0"/>
    <w:rsid w:val="00B84623"/>
    <w:rsid w:val="00B84827"/>
    <w:rsid w:val="00B865C0"/>
    <w:rsid w:val="00B86958"/>
    <w:rsid w:val="00B86C63"/>
    <w:rsid w:val="00B86DCF"/>
    <w:rsid w:val="00B87A70"/>
    <w:rsid w:val="00B87C60"/>
    <w:rsid w:val="00B900F3"/>
    <w:rsid w:val="00B9015E"/>
    <w:rsid w:val="00B902D3"/>
    <w:rsid w:val="00B912CE"/>
    <w:rsid w:val="00B919DA"/>
    <w:rsid w:val="00B91A4D"/>
    <w:rsid w:val="00B92629"/>
    <w:rsid w:val="00B92E44"/>
    <w:rsid w:val="00B932CE"/>
    <w:rsid w:val="00B93DA6"/>
    <w:rsid w:val="00B93F15"/>
    <w:rsid w:val="00B93FB5"/>
    <w:rsid w:val="00B94AF6"/>
    <w:rsid w:val="00B95739"/>
    <w:rsid w:val="00B9581E"/>
    <w:rsid w:val="00B958C7"/>
    <w:rsid w:val="00B9596C"/>
    <w:rsid w:val="00B95B54"/>
    <w:rsid w:val="00B95DE1"/>
    <w:rsid w:val="00B96943"/>
    <w:rsid w:val="00B96D19"/>
    <w:rsid w:val="00B9767E"/>
    <w:rsid w:val="00B979F3"/>
    <w:rsid w:val="00B97EEE"/>
    <w:rsid w:val="00BA145D"/>
    <w:rsid w:val="00BA1B4E"/>
    <w:rsid w:val="00BA1E32"/>
    <w:rsid w:val="00BA2812"/>
    <w:rsid w:val="00BA30DC"/>
    <w:rsid w:val="00BA348F"/>
    <w:rsid w:val="00BA35DA"/>
    <w:rsid w:val="00BA36D3"/>
    <w:rsid w:val="00BA3D82"/>
    <w:rsid w:val="00BA3F18"/>
    <w:rsid w:val="00BA431B"/>
    <w:rsid w:val="00BA478E"/>
    <w:rsid w:val="00BA5724"/>
    <w:rsid w:val="00BA577E"/>
    <w:rsid w:val="00BA6D8F"/>
    <w:rsid w:val="00BA7DCB"/>
    <w:rsid w:val="00BB002B"/>
    <w:rsid w:val="00BB152B"/>
    <w:rsid w:val="00BB15DE"/>
    <w:rsid w:val="00BB15F0"/>
    <w:rsid w:val="00BB16A5"/>
    <w:rsid w:val="00BB25A0"/>
    <w:rsid w:val="00BB2D5D"/>
    <w:rsid w:val="00BB3BEC"/>
    <w:rsid w:val="00BB4088"/>
    <w:rsid w:val="00BB53DC"/>
    <w:rsid w:val="00BB596B"/>
    <w:rsid w:val="00BB5A66"/>
    <w:rsid w:val="00BB5B43"/>
    <w:rsid w:val="00BB6012"/>
    <w:rsid w:val="00BB637C"/>
    <w:rsid w:val="00BB7169"/>
    <w:rsid w:val="00BB75B0"/>
    <w:rsid w:val="00BB769E"/>
    <w:rsid w:val="00BC002B"/>
    <w:rsid w:val="00BC0CBD"/>
    <w:rsid w:val="00BC116B"/>
    <w:rsid w:val="00BC144F"/>
    <w:rsid w:val="00BC1D46"/>
    <w:rsid w:val="00BC22A6"/>
    <w:rsid w:val="00BC2598"/>
    <w:rsid w:val="00BC2D3C"/>
    <w:rsid w:val="00BC352D"/>
    <w:rsid w:val="00BC3D67"/>
    <w:rsid w:val="00BC3EBE"/>
    <w:rsid w:val="00BC4857"/>
    <w:rsid w:val="00BC4979"/>
    <w:rsid w:val="00BC652C"/>
    <w:rsid w:val="00BC674C"/>
    <w:rsid w:val="00BC7A33"/>
    <w:rsid w:val="00BD027A"/>
    <w:rsid w:val="00BD035C"/>
    <w:rsid w:val="00BD05FA"/>
    <w:rsid w:val="00BD09A7"/>
    <w:rsid w:val="00BD122B"/>
    <w:rsid w:val="00BD2357"/>
    <w:rsid w:val="00BD27A9"/>
    <w:rsid w:val="00BD2DEE"/>
    <w:rsid w:val="00BD3691"/>
    <w:rsid w:val="00BD3CB1"/>
    <w:rsid w:val="00BD534C"/>
    <w:rsid w:val="00BD579E"/>
    <w:rsid w:val="00BD63FB"/>
    <w:rsid w:val="00BD64EB"/>
    <w:rsid w:val="00BD7B21"/>
    <w:rsid w:val="00BD7C62"/>
    <w:rsid w:val="00BD7FC6"/>
    <w:rsid w:val="00BE0FC3"/>
    <w:rsid w:val="00BE17FB"/>
    <w:rsid w:val="00BE1C87"/>
    <w:rsid w:val="00BE1C99"/>
    <w:rsid w:val="00BE20CD"/>
    <w:rsid w:val="00BE23D4"/>
    <w:rsid w:val="00BE3191"/>
    <w:rsid w:val="00BE31C3"/>
    <w:rsid w:val="00BE3B56"/>
    <w:rsid w:val="00BE474F"/>
    <w:rsid w:val="00BE47C2"/>
    <w:rsid w:val="00BE48D5"/>
    <w:rsid w:val="00BE4DBA"/>
    <w:rsid w:val="00BE4DF8"/>
    <w:rsid w:val="00BE4E04"/>
    <w:rsid w:val="00BE56A3"/>
    <w:rsid w:val="00BE57CA"/>
    <w:rsid w:val="00BE7359"/>
    <w:rsid w:val="00BE782E"/>
    <w:rsid w:val="00BE7880"/>
    <w:rsid w:val="00BF028F"/>
    <w:rsid w:val="00BF11AB"/>
    <w:rsid w:val="00BF1411"/>
    <w:rsid w:val="00BF1BA8"/>
    <w:rsid w:val="00BF1E34"/>
    <w:rsid w:val="00BF1ECE"/>
    <w:rsid w:val="00BF260A"/>
    <w:rsid w:val="00BF35E8"/>
    <w:rsid w:val="00BF4948"/>
    <w:rsid w:val="00BF494F"/>
    <w:rsid w:val="00BF4E69"/>
    <w:rsid w:val="00BF572A"/>
    <w:rsid w:val="00BF5AAD"/>
    <w:rsid w:val="00BF628C"/>
    <w:rsid w:val="00BF73C4"/>
    <w:rsid w:val="00BF7510"/>
    <w:rsid w:val="00BF7667"/>
    <w:rsid w:val="00BF7C85"/>
    <w:rsid w:val="00BF7D53"/>
    <w:rsid w:val="00C00897"/>
    <w:rsid w:val="00C01620"/>
    <w:rsid w:val="00C01740"/>
    <w:rsid w:val="00C01913"/>
    <w:rsid w:val="00C019B4"/>
    <w:rsid w:val="00C01A8E"/>
    <w:rsid w:val="00C0203C"/>
    <w:rsid w:val="00C02614"/>
    <w:rsid w:val="00C02834"/>
    <w:rsid w:val="00C02C1E"/>
    <w:rsid w:val="00C02E33"/>
    <w:rsid w:val="00C02F3D"/>
    <w:rsid w:val="00C030E8"/>
    <w:rsid w:val="00C03130"/>
    <w:rsid w:val="00C0337A"/>
    <w:rsid w:val="00C0404A"/>
    <w:rsid w:val="00C04795"/>
    <w:rsid w:val="00C04969"/>
    <w:rsid w:val="00C057F3"/>
    <w:rsid w:val="00C0654B"/>
    <w:rsid w:val="00C06A20"/>
    <w:rsid w:val="00C10156"/>
    <w:rsid w:val="00C10568"/>
    <w:rsid w:val="00C11B0D"/>
    <w:rsid w:val="00C12656"/>
    <w:rsid w:val="00C15397"/>
    <w:rsid w:val="00C15F12"/>
    <w:rsid w:val="00C161D4"/>
    <w:rsid w:val="00C1653B"/>
    <w:rsid w:val="00C16986"/>
    <w:rsid w:val="00C16D5F"/>
    <w:rsid w:val="00C17A34"/>
    <w:rsid w:val="00C20E65"/>
    <w:rsid w:val="00C21C1D"/>
    <w:rsid w:val="00C22924"/>
    <w:rsid w:val="00C22DE5"/>
    <w:rsid w:val="00C23443"/>
    <w:rsid w:val="00C2357A"/>
    <w:rsid w:val="00C235EF"/>
    <w:rsid w:val="00C23AD7"/>
    <w:rsid w:val="00C23D88"/>
    <w:rsid w:val="00C24605"/>
    <w:rsid w:val="00C24F0E"/>
    <w:rsid w:val="00C256EA"/>
    <w:rsid w:val="00C25B8A"/>
    <w:rsid w:val="00C25F02"/>
    <w:rsid w:val="00C2617F"/>
    <w:rsid w:val="00C26B42"/>
    <w:rsid w:val="00C26FEC"/>
    <w:rsid w:val="00C27247"/>
    <w:rsid w:val="00C30392"/>
    <w:rsid w:val="00C30B8C"/>
    <w:rsid w:val="00C30CFF"/>
    <w:rsid w:val="00C30D58"/>
    <w:rsid w:val="00C32111"/>
    <w:rsid w:val="00C32436"/>
    <w:rsid w:val="00C327CB"/>
    <w:rsid w:val="00C3280E"/>
    <w:rsid w:val="00C33065"/>
    <w:rsid w:val="00C334CE"/>
    <w:rsid w:val="00C3418B"/>
    <w:rsid w:val="00C34191"/>
    <w:rsid w:val="00C341AA"/>
    <w:rsid w:val="00C34AFD"/>
    <w:rsid w:val="00C34BC7"/>
    <w:rsid w:val="00C34E53"/>
    <w:rsid w:val="00C34E7D"/>
    <w:rsid w:val="00C35308"/>
    <w:rsid w:val="00C35EEB"/>
    <w:rsid w:val="00C36264"/>
    <w:rsid w:val="00C36298"/>
    <w:rsid w:val="00C3657C"/>
    <w:rsid w:val="00C36C3A"/>
    <w:rsid w:val="00C37097"/>
    <w:rsid w:val="00C37235"/>
    <w:rsid w:val="00C4068F"/>
    <w:rsid w:val="00C407F4"/>
    <w:rsid w:val="00C40A60"/>
    <w:rsid w:val="00C41955"/>
    <w:rsid w:val="00C42203"/>
    <w:rsid w:val="00C42781"/>
    <w:rsid w:val="00C42AE5"/>
    <w:rsid w:val="00C4330F"/>
    <w:rsid w:val="00C4402D"/>
    <w:rsid w:val="00C44529"/>
    <w:rsid w:val="00C454F2"/>
    <w:rsid w:val="00C46434"/>
    <w:rsid w:val="00C46D6E"/>
    <w:rsid w:val="00C4706C"/>
    <w:rsid w:val="00C4726E"/>
    <w:rsid w:val="00C4771D"/>
    <w:rsid w:val="00C479EC"/>
    <w:rsid w:val="00C47D0D"/>
    <w:rsid w:val="00C50159"/>
    <w:rsid w:val="00C50BF9"/>
    <w:rsid w:val="00C52087"/>
    <w:rsid w:val="00C522AE"/>
    <w:rsid w:val="00C52AA4"/>
    <w:rsid w:val="00C537AB"/>
    <w:rsid w:val="00C537F2"/>
    <w:rsid w:val="00C5381A"/>
    <w:rsid w:val="00C539DD"/>
    <w:rsid w:val="00C5418C"/>
    <w:rsid w:val="00C55318"/>
    <w:rsid w:val="00C554B1"/>
    <w:rsid w:val="00C554C0"/>
    <w:rsid w:val="00C55811"/>
    <w:rsid w:val="00C55E98"/>
    <w:rsid w:val="00C56198"/>
    <w:rsid w:val="00C563D0"/>
    <w:rsid w:val="00C565BC"/>
    <w:rsid w:val="00C56646"/>
    <w:rsid w:val="00C56A32"/>
    <w:rsid w:val="00C57404"/>
    <w:rsid w:val="00C6074B"/>
    <w:rsid w:val="00C607B5"/>
    <w:rsid w:val="00C608F8"/>
    <w:rsid w:val="00C60BAE"/>
    <w:rsid w:val="00C6117B"/>
    <w:rsid w:val="00C6185F"/>
    <w:rsid w:val="00C61B8C"/>
    <w:rsid w:val="00C61BCD"/>
    <w:rsid w:val="00C63619"/>
    <w:rsid w:val="00C63801"/>
    <w:rsid w:val="00C6392A"/>
    <w:rsid w:val="00C63CBB"/>
    <w:rsid w:val="00C63EA5"/>
    <w:rsid w:val="00C64CCE"/>
    <w:rsid w:val="00C64E04"/>
    <w:rsid w:val="00C65804"/>
    <w:rsid w:val="00C65CA2"/>
    <w:rsid w:val="00C66B6B"/>
    <w:rsid w:val="00C66C22"/>
    <w:rsid w:val="00C66FAF"/>
    <w:rsid w:val="00C6798C"/>
    <w:rsid w:val="00C706B8"/>
    <w:rsid w:val="00C70C6A"/>
    <w:rsid w:val="00C715D4"/>
    <w:rsid w:val="00C71C1F"/>
    <w:rsid w:val="00C72103"/>
    <w:rsid w:val="00C7255F"/>
    <w:rsid w:val="00C73F8D"/>
    <w:rsid w:val="00C7424E"/>
    <w:rsid w:val="00C74365"/>
    <w:rsid w:val="00C752C9"/>
    <w:rsid w:val="00C75D64"/>
    <w:rsid w:val="00C7655C"/>
    <w:rsid w:val="00C76594"/>
    <w:rsid w:val="00C767B0"/>
    <w:rsid w:val="00C77802"/>
    <w:rsid w:val="00C77917"/>
    <w:rsid w:val="00C77C5F"/>
    <w:rsid w:val="00C77F8D"/>
    <w:rsid w:val="00C80535"/>
    <w:rsid w:val="00C80846"/>
    <w:rsid w:val="00C80DC7"/>
    <w:rsid w:val="00C82087"/>
    <w:rsid w:val="00C82D9F"/>
    <w:rsid w:val="00C83206"/>
    <w:rsid w:val="00C83F09"/>
    <w:rsid w:val="00C842B8"/>
    <w:rsid w:val="00C84383"/>
    <w:rsid w:val="00C84592"/>
    <w:rsid w:val="00C847E5"/>
    <w:rsid w:val="00C85720"/>
    <w:rsid w:val="00C85807"/>
    <w:rsid w:val="00C8601C"/>
    <w:rsid w:val="00C86190"/>
    <w:rsid w:val="00C865FC"/>
    <w:rsid w:val="00C86658"/>
    <w:rsid w:val="00C86C2F"/>
    <w:rsid w:val="00C86C6D"/>
    <w:rsid w:val="00C86FC5"/>
    <w:rsid w:val="00C87168"/>
    <w:rsid w:val="00C876EA"/>
    <w:rsid w:val="00C900FE"/>
    <w:rsid w:val="00C90BDE"/>
    <w:rsid w:val="00C9197F"/>
    <w:rsid w:val="00C92198"/>
    <w:rsid w:val="00C92F6D"/>
    <w:rsid w:val="00C9377B"/>
    <w:rsid w:val="00C945F7"/>
    <w:rsid w:val="00C9475B"/>
    <w:rsid w:val="00C94D00"/>
    <w:rsid w:val="00C94DE7"/>
    <w:rsid w:val="00C94EB8"/>
    <w:rsid w:val="00C95261"/>
    <w:rsid w:val="00C953B5"/>
    <w:rsid w:val="00C954DB"/>
    <w:rsid w:val="00C95AE4"/>
    <w:rsid w:val="00C95BF7"/>
    <w:rsid w:val="00C96668"/>
    <w:rsid w:val="00C9666F"/>
    <w:rsid w:val="00C972C0"/>
    <w:rsid w:val="00C97876"/>
    <w:rsid w:val="00C978D2"/>
    <w:rsid w:val="00CA01AD"/>
    <w:rsid w:val="00CA0EEA"/>
    <w:rsid w:val="00CA2171"/>
    <w:rsid w:val="00CA29E7"/>
    <w:rsid w:val="00CA2DF9"/>
    <w:rsid w:val="00CA33AB"/>
    <w:rsid w:val="00CA3EB7"/>
    <w:rsid w:val="00CA4228"/>
    <w:rsid w:val="00CA4656"/>
    <w:rsid w:val="00CA4682"/>
    <w:rsid w:val="00CA4FF9"/>
    <w:rsid w:val="00CA52A6"/>
    <w:rsid w:val="00CA5924"/>
    <w:rsid w:val="00CA5C85"/>
    <w:rsid w:val="00CA6844"/>
    <w:rsid w:val="00CA6E7B"/>
    <w:rsid w:val="00CA6E9F"/>
    <w:rsid w:val="00CA7821"/>
    <w:rsid w:val="00CB069C"/>
    <w:rsid w:val="00CB0969"/>
    <w:rsid w:val="00CB0CB3"/>
    <w:rsid w:val="00CB18B1"/>
    <w:rsid w:val="00CB264D"/>
    <w:rsid w:val="00CB2E2F"/>
    <w:rsid w:val="00CB2FF1"/>
    <w:rsid w:val="00CB31BB"/>
    <w:rsid w:val="00CB33D5"/>
    <w:rsid w:val="00CB3B2C"/>
    <w:rsid w:val="00CB3FAB"/>
    <w:rsid w:val="00CB426F"/>
    <w:rsid w:val="00CB51E8"/>
    <w:rsid w:val="00CB5583"/>
    <w:rsid w:val="00CB5C6F"/>
    <w:rsid w:val="00CB5CB9"/>
    <w:rsid w:val="00CB6C21"/>
    <w:rsid w:val="00CB7140"/>
    <w:rsid w:val="00CB7497"/>
    <w:rsid w:val="00CB7529"/>
    <w:rsid w:val="00CC17F6"/>
    <w:rsid w:val="00CC195B"/>
    <w:rsid w:val="00CC2375"/>
    <w:rsid w:val="00CC2947"/>
    <w:rsid w:val="00CC31ED"/>
    <w:rsid w:val="00CC339B"/>
    <w:rsid w:val="00CC3643"/>
    <w:rsid w:val="00CC382F"/>
    <w:rsid w:val="00CC43FF"/>
    <w:rsid w:val="00CC4E0D"/>
    <w:rsid w:val="00CC565A"/>
    <w:rsid w:val="00CC642F"/>
    <w:rsid w:val="00CC6D0C"/>
    <w:rsid w:val="00CC6FCE"/>
    <w:rsid w:val="00CC73EF"/>
    <w:rsid w:val="00CC74F4"/>
    <w:rsid w:val="00CC7551"/>
    <w:rsid w:val="00CC7762"/>
    <w:rsid w:val="00CC79A9"/>
    <w:rsid w:val="00CD0326"/>
    <w:rsid w:val="00CD0621"/>
    <w:rsid w:val="00CD089C"/>
    <w:rsid w:val="00CD08A8"/>
    <w:rsid w:val="00CD1004"/>
    <w:rsid w:val="00CD2229"/>
    <w:rsid w:val="00CD2265"/>
    <w:rsid w:val="00CD2B8D"/>
    <w:rsid w:val="00CD2C3B"/>
    <w:rsid w:val="00CD36E6"/>
    <w:rsid w:val="00CD3922"/>
    <w:rsid w:val="00CD43C0"/>
    <w:rsid w:val="00CD4872"/>
    <w:rsid w:val="00CD4BE6"/>
    <w:rsid w:val="00CD4C12"/>
    <w:rsid w:val="00CD578F"/>
    <w:rsid w:val="00CD59D6"/>
    <w:rsid w:val="00CD5B11"/>
    <w:rsid w:val="00CD5BF6"/>
    <w:rsid w:val="00CD6678"/>
    <w:rsid w:val="00CD6A12"/>
    <w:rsid w:val="00CD6AEA"/>
    <w:rsid w:val="00CD7E7A"/>
    <w:rsid w:val="00CE04FC"/>
    <w:rsid w:val="00CE070D"/>
    <w:rsid w:val="00CE1029"/>
    <w:rsid w:val="00CE1749"/>
    <w:rsid w:val="00CE1769"/>
    <w:rsid w:val="00CE1A95"/>
    <w:rsid w:val="00CE1B64"/>
    <w:rsid w:val="00CE289E"/>
    <w:rsid w:val="00CE292E"/>
    <w:rsid w:val="00CE4CC1"/>
    <w:rsid w:val="00CE6740"/>
    <w:rsid w:val="00CE7F76"/>
    <w:rsid w:val="00CF0034"/>
    <w:rsid w:val="00CF0982"/>
    <w:rsid w:val="00CF10D7"/>
    <w:rsid w:val="00CF1259"/>
    <w:rsid w:val="00CF1647"/>
    <w:rsid w:val="00CF1DB3"/>
    <w:rsid w:val="00CF2334"/>
    <w:rsid w:val="00CF4911"/>
    <w:rsid w:val="00CF4DBC"/>
    <w:rsid w:val="00CF58E4"/>
    <w:rsid w:val="00CF5A9E"/>
    <w:rsid w:val="00CF5B4D"/>
    <w:rsid w:val="00CF633F"/>
    <w:rsid w:val="00CF6354"/>
    <w:rsid w:val="00CF6440"/>
    <w:rsid w:val="00CF6D75"/>
    <w:rsid w:val="00CF6FEC"/>
    <w:rsid w:val="00CF7360"/>
    <w:rsid w:val="00CF7B9F"/>
    <w:rsid w:val="00D0150F"/>
    <w:rsid w:val="00D01EA9"/>
    <w:rsid w:val="00D01F30"/>
    <w:rsid w:val="00D02680"/>
    <w:rsid w:val="00D03116"/>
    <w:rsid w:val="00D0314A"/>
    <w:rsid w:val="00D0350A"/>
    <w:rsid w:val="00D0362D"/>
    <w:rsid w:val="00D04127"/>
    <w:rsid w:val="00D046FA"/>
    <w:rsid w:val="00D047E5"/>
    <w:rsid w:val="00D04DDD"/>
    <w:rsid w:val="00D04DF7"/>
    <w:rsid w:val="00D0507F"/>
    <w:rsid w:val="00D05962"/>
    <w:rsid w:val="00D05988"/>
    <w:rsid w:val="00D05DA5"/>
    <w:rsid w:val="00D0604D"/>
    <w:rsid w:val="00D06357"/>
    <w:rsid w:val="00D067BC"/>
    <w:rsid w:val="00D06BCC"/>
    <w:rsid w:val="00D075FD"/>
    <w:rsid w:val="00D07696"/>
    <w:rsid w:val="00D07CC2"/>
    <w:rsid w:val="00D1013D"/>
    <w:rsid w:val="00D11305"/>
    <w:rsid w:val="00D12087"/>
    <w:rsid w:val="00D1222F"/>
    <w:rsid w:val="00D12FA2"/>
    <w:rsid w:val="00D1489A"/>
    <w:rsid w:val="00D14FC1"/>
    <w:rsid w:val="00D16264"/>
    <w:rsid w:val="00D162CF"/>
    <w:rsid w:val="00D16633"/>
    <w:rsid w:val="00D16E00"/>
    <w:rsid w:val="00D175E4"/>
    <w:rsid w:val="00D17636"/>
    <w:rsid w:val="00D1766D"/>
    <w:rsid w:val="00D20533"/>
    <w:rsid w:val="00D20AA6"/>
    <w:rsid w:val="00D20C5E"/>
    <w:rsid w:val="00D2169C"/>
    <w:rsid w:val="00D217CE"/>
    <w:rsid w:val="00D22568"/>
    <w:rsid w:val="00D22814"/>
    <w:rsid w:val="00D228A6"/>
    <w:rsid w:val="00D22D10"/>
    <w:rsid w:val="00D22E61"/>
    <w:rsid w:val="00D2400A"/>
    <w:rsid w:val="00D24595"/>
    <w:rsid w:val="00D2551A"/>
    <w:rsid w:val="00D25777"/>
    <w:rsid w:val="00D25AC4"/>
    <w:rsid w:val="00D25BB7"/>
    <w:rsid w:val="00D2685D"/>
    <w:rsid w:val="00D30106"/>
    <w:rsid w:val="00D304B9"/>
    <w:rsid w:val="00D30592"/>
    <w:rsid w:val="00D30940"/>
    <w:rsid w:val="00D30974"/>
    <w:rsid w:val="00D31514"/>
    <w:rsid w:val="00D320CF"/>
    <w:rsid w:val="00D32CB1"/>
    <w:rsid w:val="00D3335C"/>
    <w:rsid w:val="00D33BA7"/>
    <w:rsid w:val="00D34343"/>
    <w:rsid w:val="00D34617"/>
    <w:rsid w:val="00D3509E"/>
    <w:rsid w:val="00D35D54"/>
    <w:rsid w:val="00D36E0E"/>
    <w:rsid w:val="00D378EC"/>
    <w:rsid w:val="00D37D49"/>
    <w:rsid w:val="00D4003A"/>
    <w:rsid w:val="00D40271"/>
    <w:rsid w:val="00D408E4"/>
    <w:rsid w:val="00D4118A"/>
    <w:rsid w:val="00D41A08"/>
    <w:rsid w:val="00D41DB8"/>
    <w:rsid w:val="00D425EA"/>
    <w:rsid w:val="00D43137"/>
    <w:rsid w:val="00D43455"/>
    <w:rsid w:val="00D43DF3"/>
    <w:rsid w:val="00D44CCC"/>
    <w:rsid w:val="00D44D16"/>
    <w:rsid w:val="00D44F31"/>
    <w:rsid w:val="00D45853"/>
    <w:rsid w:val="00D45E63"/>
    <w:rsid w:val="00D45EDD"/>
    <w:rsid w:val="00D45FEF"/>
    <w:rsid w:val="00D4633D"/>
    <w:rsid w:val="00D464FB"/>
    <w:rsid w:val="00D4712F"/>
    <w:rsid w:val="00D50F15"/>
    <w:rsid w:val="00D5138F"/>
    <w:rsid w:val="00D518F2"/>
    <w:rsid w:val="00D5242D"/>
    <w:rsid w:val="00D528F2"/>
    <w:rsid w:val="00D52D14"/>
    <w:rsid w:val="00D53357"/>
    <w:rsid w:val="00D5351C"/>
    <w:rsid w:val="00D545EC"/>
    <w:rsid w:val="00D54965"/>
    <w:rsid w:val="00D5553B"/>
    <w:rsid w:val="00D55BE3"/>
    <w:rsid w:val="00D5652F"/>
    <w:rsid w:val="00D5678C"/>
    <w:rsid w:val="00D57457"/>
    <w:rsid w:val="00D57664"/>
    <w:rsid w:val="00D5782C"/>
    <w:rsid w:val="00D57962"/>
    <w:rsid w:val="00D60130"/>
    <w:rsid w:val="00D601E1"/>
    <w:rsid w:val="00D6068C"/>
    <w:rsid w:val="00D60B2E"/>
    <w:rsid w:val="00D60E7E"/>
    <w:rsid w:val="00D615AD"/>
    <w:rsid w:val="00D61C9B"/>
    <w:rsid w:val="00D62196"/>
    <w:rsid w:val="00D6240D"/>
    <w:rsid w:val="00D62601"/>
    <w:rsid w:val="00D62BD5"/>
    <w:rsid w:val="00D642BF"/>
    <w:rsid w:val="00D64EFE"/>
    <w:rsid w:val="00D65408"/>
    <w:rsid w:val="00D65ED5"/>
    <w:rsid w:val="00D6602A"/>
    <w:rsid w:val="00D660A3"/>
    <w:rsid w:val="00D6620D"/>
    <w:rsid w:val="00D66C4A"/>
    <w:rsid w:val="00D6782C"/>
    <w:rsid w:val="00D6785D"/>
    <w:rsid w:val="00D7054C"/>
    <w:rsid w:val="00D7059B"/>
    <w:rsid w:val="00D70D44"/>
    <w:rsid w:val="00D70FF0"/>
    <w:rsid w:val="00D71289"/>
    <w:rsid w:val="00D719F8"/>
    <w:rsid w:val="00D71E34"/>
    <w:rsid w:val="00D7266E"/>
    <w:rsid w:val="00D7284E"/>
    <w:rsid w:val="00D729D8"/>
    <w:rsid w:val="00D733C5"/>
    <w:rsid w:val="00D73615"/>
    <w:rsid w:val="00D75477"/>
    <w:rsid w:val="00D759EA"/>
    <w:rsid w:val="00D75E23"/>
    <w:rsid w:val="00D76964"/>
    <w:rsid w:val="00D76C08"/>
    <w:rsid w:val="00D773E8"/>
    <w:rsid w:val="00D7755F"/>
    <w:rsid w:val="00D77898"/>
    <w:rsid w:val="00D77AFE"/>
    <w:rsid w:val="00D77AFF"/>
    <w:rsid w:val="00D77C1C"/>
    <w:rsid w:val="00D77DF3"/>
    <w:rsid w:val="00D81496"/>
    <w:rsid w:val="00D81D3E"/>
    <w:rsid w:val="00D821FE"/>
    <w:rsid w:val="00D8251B"/>
    <w:rsid w:val="00D834E9"/>
    <w:rsid w:val="00D83870"/>
    <w:rsid w:val="00D838A2"/>
    <w:rsid w:val="00D83A78"/>
    <w:rsid w:val="00D84EDA"/>
    <w:rsid w:val="00D85729"/>
    <w:rsid w:val="00D85846"/>
    <w:rsid w:val="00D85911"/>
    <w:rsid w:val="00D85D0B"/>
    <w:rsid w:val="00D863CD"/>
    <w:rsid w:val="00D87743"/>
    <w:rsid w:val="00D87813"/>
    <w:rsid w:val="00D87BEA"/>
    <w:rsid w:val="00D9061B"/>
    <w:rsid w:val="00D91655"/>
    <w:rsid w:val="00D925AC"/>
    <w:rsid w:val="00D9287A"/>
    <w:rsid w:val="00D928A2"/>
    <w:rsid w:val="00D92A48"/>
    <w:rsid w:val="00D92C9E"/>
    <w:rsid w:val="00D93CB3"/>
    <w:rsid w:val="00D9525A"/>
    <w:rsid w:val="00D95400"/>
    <w:rsid w:val="00D9557A"/>
    <w:rsid w:val="00D95687"/>
    <w:rsid w:val="00D95DC3"/>
    <w:rsid w:val="00D969BB"/>
    <w:rsid w:val="00D96A4C"/>
    <w:rsid w:val="00D978AF"/>
    <w:rsid w:val="00D97993"/>
    <w:rsid w:val="00D97A81"/>
    <w:rsid w:val="00D97C24"/>
    <w:rsid w:val="00D97F75"/>
    <w:rsid w:val="00DA0825"/>
    <w:rsid w:val="00DA17AD"/>
    <w:rsid w:val="00DA1E8D"/>
    <w:rsid w:val="00DA22E8"/>
    <w:rsid w:val="00DA23B6"/>
    <w:rsid w:val="00DA2DC6"/>
    <w:rsid w:val="00DA310A"/>
    <w:rsid w:val="00DA327E"/>
    <w:rsid w:val="00DA32B1"/>
    <w:rsid w:val="00DA36A4"/>
    <w:rsid w:val="00DA3CBA"/>
    <w:rsid w:val="00DA3F38"/>
    <w:rsid w:val="00DA4F9A"/>
    <w:rsid w:val="00DA5DC8"/>
    <w:rsid w:val="00DA5EEE"/>
    <w:rsid w:val="00DA6209"/>
    <w:rsid w:val="00DA65D5"/>
    <w:rsid w:val="00DA6610"/>
    <w:rsid w:val="00DA6D42"/>
    <w:rsid w:val="00DA7275"/>
    <w:rsid w:val="00DA770D"/>
    <w:rsid w:val="00DA78BE"/>
    <w:rsid w:val="00DA7EEB"/>
    <w:rsid w:val="00DB00C9"/>
    <w:rsid w:val="00DB0374"/>
    <w:rsid w:val="00DB0F98"/>
    <w:rsid w:val="00DB11EA"/>
    <w:rsid w:val="00DB139F"/>
    <w:rsid w:val="00DB140E"/>
    <w:rsid w:val="00DB17BE"/>
    <w:rsid w:val="00DB2310"/>
    <w:rsid w:val="00DB2337"/>
    <w:rsid w:val="00DB24D2"/>
    <w:rsid w:val="00DB34D2"/>
    <w:rsid w:val="00DB3A96"/>
    <w:rsid w:val="00DB3B12"/>
    <w:rsid w:val="00DB3E7D"/>
    <w:rsid w:val="00DB404A"/>
    <w:rsid w:val="00DB4104"/>
    <w:rsid w:val="00DB452D"/>
    <w:rsid w:val="00DB47E8"/>
    <w:rsid w:val="00DB4838"/>
    <w:rsid w:val="00DB48C3"/>
    <w:rsid w:val="00DB4905"/>
    <w:rsid w:val="00DB492E"/>
    <w:rsid w:val="00DB4AAA"/>
    <w:rsid w:val="00DB4D1E"/>
    <w:rsid w:val="00DB4D31"/>
    <w:rsid w:val="00DB570E"/>
    <w:rsid w:val="00DB5C29"/>
    <w:rsid w:val="00DB622A"/>
    <w:rsid w:val="00DB697B"/>
    <w:rsid w:val="00DB6C5E"/>
    <w:rsid w:val="00DB759F"/>
    <w:rsid w:val="00DC02F1"/>
    <w:rsid w:val="00DC126F"/>
    <w:rsid w:val="00DC1AF3"/>
    <w:rsid w:val="00DC2025"/>
    <w:rsid w:val="00DC235C"/>
    <w:rsid w:val="00DC237E"/>
    <w:rsid w:val="00DC27A9"/>
    <w:rsid w:val="00DC3026"/>
    <w:rsid w:val="00DC3CF1"/>
    <w:rsid w:val="00DC4DCD"/>
    <w:rsid w:val="00DC5198"/>
    <w:rsid w:val="00DC5362"/>
    <w:rsid w:val="00DC5370"/>
    <w:rsid w:val="00DC58D6"/>
    <w:rsid w:val="00DC62C6"/>
    <w:rsid w:val="00DC63D6"/>
    <w:rsid w:val="00DC6537"/>
    <w:rsid w:val="00DC6569"/>
    <w:rsid w:val="00DC6820"/>
    <w:rsid w:val="00DC6D4A"/>
    <w:rsid w:val="00DC6D4B"/>
    <w:rsid w:val="00DC74ED"/>
    <w:rsid w:val="00DC7A3A"/>
    <w:rsid w:val="00DC7E52"/>
    <w:rsid w:val="00DD0081"/>
    <w:rsid w:val="00DD0385"/>
    <w:rsid w:val="00DD07DE"/>
    <w:rsid w:val="00DD09AF"/>
    <w:rsid w:val="00DD09B2"/>
    <w:rsid w:val="00DD0E00"/>
    <w:rsid w:val="00DD0FE4"/>
    <w:rsid w:val="00DD1A96"/>
    <w:rsid w:val="00DD1BC5"/>
    <w:rsid w:val="00DD1C8C"/>
    <w:rsid w:val="00DD209B"/>
    <w:rsid w:val="00DD2615"/>
    <w:rsid w:val="00DD28BE"/>
    <w:rsid w:val="00DD4CE6"/>
    <w:rsid w:val="00DD55C6"/>
    <w:rsid w:val="00DD5F20"/>
    <w:rsid w:val="00DD602E"/>
    <w:rsid w:val="00DD6186"/>
    <w:rsid w:val="00DD65FD"/>
    <w:rsid w:val="00DD6AC4"/>
    <w:rsid w:val="00DD6AD0"/>
    <w:rsid w:val="00DD7C1A"/>
    <w:rsid w:val="00DE03F9"/>
    <w:rsid w:val="00DE048A"/>
    <w:rsid w:val="00DE118B"/>
    <w:rsid w:val="00DE12DB"/>
    <w:rsid w:val="00DE24AD"/>
    <w:rsid w:val="00DE2604"/>
    <w:rsid w:val="00DE2EC8"/>
    <w:rsid w:val="00DE39AC"/>
    <w:rsid w:val="00DE3AB5"/>
    <w:rsid w:val="00DE3B1D"/>
    <w:rsid w:val="00DE443D"/>
    <w:rsid w:val="00DE46DD"/>
    <w:rsid w:val="00DE4737"/>
    <w:rsid w:val="00DE56A2"/>
    <w:rsid w:val="00DE6C2D"/>
    <w:rsid w:val="00DE71DF"/>
    <w:rsid w:val="00DE72AA"/>
    <w:rsid w:val="00DE7A63"/>
    <w:rsid w:val="00DF03D5"/>
    <w:rsid w:val="00DF0A31"/>
    <w:rsid w:val="00DF0E0C"/>
    <w:rsid w:val="00DF0FE4"/>
    <w:rsid w:val="00DF112D"/>
    <w:rsid w:val="00DF1AE2"/>
    <w:rsid w:val="00DF27C5"/>
    <w:rsid w:val="00DF2AE2"/>
    <w:rsid w:val="00DF2DD6"/>
    <w:rsid w:val="00DF3435"/>
    <w:rsid w:val="00DF3B8F"/>
    <w:rsid w:val="00DF42B3"/>
    <w:rsid w:val="00DF433D"/>
    <w:rsid w:val="00DF5218"/>
    <w:rsid w:val="00DF5577"/>
    <w:rsid w:val="00DF59A2"/>
    <w:rsid w:val="00DF6C52"/>
    <w:rsid w:val="00DF7149"/>
    <w:rsid w:val="00DF7700"/>
    <w:rsid w:val="00DF778A"/>
    <w:rsid w:val="00DF7B8C"/>
    <w:rsid w:val="00DF7FB0"/>
    <w:rsid w:val="00E00543"/>
    <w:rsid w:val="00E01677"/>
    <w:rsid w:val="00E02646"/>
    <w:rsid w:val="00E03376"/>
    <w:rsid w:val="00E03463"/>
    <w:rsid w:val="00E0377E"/>
    <w:rsid w:val="00E03846"/>
    <w:rsid w:val="00E042CE"/>
    <w:rsid w:val="00E04922"/>
    <w:rsid w:val="00E04CA2"/>
    <w:rsid w:val="00E04D8A"/>
    <w:rsid w:val="00E04EB9"/>
    <w:rsid w:val="00E0536C"/>
    <w:rsid w:val="00E06266"/>
    <w:rsid w:val="00E06319"/>
    <w:rsid w:val="00E06B52"/>
    <w:rsid w:val="00E074F4"/>
    <w:rsid w:val="00E07B65"/>
    <w:rsid w:val="00E07B8F"/>
    <w:rsid w:val="00E11F7F"/>
    <w:rsid w:val="00E120CF"/>
    <w:rsid w:val="00E12645"/>
    <w:rsid w:val="00E1270A"/>
    <w:rsid w:val="00E136A0"/>
    <w:rsid w:val="00E137C8"/>
    <w:rsid w:val="00E13C9A"/>
    <w:rsid w:val="00E13EC7"/>
    <w:rsid w:val="00E141C9"/>
    <w:rsid w:val="00E14A75"/>
    <w:rsid w:val="00E14FDA"/>
    <w:rsid w:val="00E154B9"/>
    <w:rsid w:val="00E15D87"/>
    <w:rsid w:val="00E1625F"/>
    <w:rsid w:val="00E16348"/>
    <w:rsid w:val="00E1682E"/>
    <w:rsid w:val="00E170A3"/>
    <w:rsid w:val="00E1738B"/>
    <w:rsid w:val="00E176B7"/>
    <w:rsid w:val="00E205F9"/>
    <w:rsid w:val="00E208F4"/>
    <w:rsid w:val="00E21438"/>
    <w:rsid w:val="00E2227D"/>
    <w:rsid w:val="00E2256C"/>
    <w:rsid w:val="00E22C82"/>
    <w:rsid w:val="00E230A4"/>
    <w:rsid w:val="00E235F9"/>
    <w:rsid w:val="00E2393F"/>
    <w:rsid w:val="00E24195"/>
    <w:rsid w:val="00E24C92"/>
    <w:rsid w:val="00E259D6"/>
    <w:rsid w:val="00E25AF5"/>
    <w:rsid w:val="00E25F70"/>
    <w:rsid w:val="00E260C0"/>
    <w:rsid w:val="00E27512"/>
    <w:rsid w:val="00E275F6"/>
    <w:rsid w:val="00E27BD6"/>
    <w:rsid w:val="00E30B58"/>
    <w:rsid w:val="00E30E55"/>
    <w:rsid w:val="00E32979"/>
    <w:rsid w:val="00E33587"/>
    <w:rsid w:val="00E33C06"/>
    <w:rsid w:val="00E33EB9"/>
    <w:rsid w:val="00E340BF"/>
    <w:rsid w:val="00E342BA"/>
    <w:rsid w:val="00E347C4"/>
    <w:rsid w:val="00E34BE5"/>
    <w:rsid w:val="00E34D00"/>
    <w:rsid w:val="00E36C1B"/>
    <w:rsid w:val="00E36E2E"/>
    <w:rsid w:val="00E376BD"/>
    <w:rsid w:val="00E40725"/>
    <w:rsid w:val="00E40E40"/>
    <w:rsid w:val="00E4151B"/>
    <w:rsid w:val="00E41640"/>
    <w:rsid w:val="00E41827"/>
    <w:rsid w:val="00E41A79"/>
    <w:rsid w:val="00E41D46"/>
    <w:rsid w:val="00E43D71"/>
    <w:rsid w:val="00E44825"/>
    <w:rsid w:val="00E44A94"/>
    <w:rsid w:val="00E45A50"/>
    <w:rsid w:val="00E46516"/>
    <w:rsid w:val="00E46599"/>
    <w:rsid w:val="00E46ADA"/>
    <w:rsid w:val="00E47367"/>
    <w:rsid w:val="00E473A6"/>
    <w:rsid w:val="00E47B6D"/>
    <w:rsid w:val="00E47CA1"/>
    <w:rsid w:val="00E51A30"/>
    <w:rsid w:val="00E51DD1"/>
    <w:rsid w:val="00E521C7"/>
    <w:rsid w:val="00E52796"/>
    <w:rsid w:val="00E52F4E"/>
    <w:rsid w:val="00E533CD"/>
    <w:rsid w:val="00E53874"/>
    <w:rsid w:val="00E540D1"/>
    <w:rsid w:val="00E5414C"/>
    <w:rsid w:val="00E542CC"/>
    <w:rsid w:val="00E54651"/>
    <w:rsid w:val="00E54AF4"/>
    <w:rsid w:val="00E55328"/>
    <w:rsid w:val="00E553C0"/>
    <w:rsid w:val="00E556AC"/>
    <w:rsid w:val="00E5605C"/>
    <w:rsid w:val="00E56261"/>
    <w:rsid w:val="00E56DD2"/>
    <w:rsid w:val="00E60D54"/>
    <w:rsid w:val="00E60DC1"/>
    <w:rsid w:val="00E61070"/>
    <w:rsid w:val="00E61737"/>
    <w:rsid w:val="00E61873"/>
    <w:rsid w:val="00E61ACC"/>
    <w:rsid w:val="00E62017"/>
    <w:rsid w:val="00E6202A"/>
    <w:rsid w:val="00E621A5"/>
    <w:rsid w:val="00E62405"/>
    <w:rsid w:val="00E63671"/>
    <w:rsid w:val="00E63950"/>
    <w:rsid w:val="00E64ED7"/>
    <w:rsid w:val="00E6564E"/>
    <w:rsid w:val="00E658D7"/>
    <w:rsid w:val="00E65DC1"/>
    <w:rsid w:val="00E66AA0"/>
    <w:rsid w:val="00E66D1C"/>
    <w:rsid w:val="00E67A97"/>
    <w:rsid w:val="00E67EA6"/>
    <w:rsid w:val="00E70975"/>
    <w:rsid w:val="00E71183"/>
    <w:rsid w:val="00E720C9"/>
    <w:rsid w:val="00E721C1"/>
    <w:rsid w:val="00E72572"/>
    <w:rsid w:val="00E72836"/>
    <w:rsid w:val="00E72F52"/>
    <w:rsid w:val="00E73651"/>
    <w:rsid w:val="00E73D83"/>
    <w:rsid w:val="00E74909"/>
    <w:rsid w:val="00E74929"/>
    <w:rsid w:val="00E74A76"/>
    <w:rsid w:val="00E74B90"/>
    <w:rsid w:val="00E75F11"/>
    <w:rsid w:val="00E761C6"/>
    <w:rsid w:val="00E76881"/>
    <w:rsid w:val="00E77E92"/>
    <w:rsid w:val="00E808C9"/>
    <w:rsid w:val="00E808EF"/>
    <w:rsid w:val="00E80D05"/>
    <w:rsid w:val="00E825BE"/>
    <w:rsid w:val="00E827CD"/>
    <w:rsid w:val="00E827E2"/>
    <w:rsid w:val="00E8281A"/>
    <w:rsid w:val="00E82E4A"/>
    <w:rsid w:val="00E837EA"/>
    <w:rsid w:val="00E83CC5"/>
    <w:rsid w:val="00E842E0"/>
    <w:rsid w:val="00E86B56"/>
    <w:rsid w:val="00E87110"/>
    <w:rsid w:val="00E8752C"/>
    <w:rsid w:val="00E8795D"/>
    <w:rsid w:val="00E87DCF"/>
    <w:rsid w:val="00E87F56"/>
    <w:rsid w:val="00E91850"/>
    <w:rsid w:val="00E9186A"/>
    <w:rsid w:val="00E918CC"/>
    <w:rsid w:val="00E91E01"/>
    <w:rsid w:val="00E91F31"/>
    <w:rsid w:val="00E928D8"/>
    <w:rsid w:val="00E9372B"/>
    <w:rsid w:val="00E93865"/>
    <w:rsid w:val="00E93C5A"/>
    <w:rsid w:val="00E94119"/>
    <w:rsid w:val="00E94592"/>
    <w:rsid w:val="00E95053"/>
    <w:rsid w:val="00E952FE"/>
    <w:rsid w:val="00E95359"/>
    <w:rsid w:val="00E95D09"/>
    <w:rsid w:val="00E95DC6"/>
    <w:rsid w:val="00E96646"/>
    <w:rsid w:val="00E970B9"/>
    <w:rsid w:val="00E97127"/>
    <w:rsid w:val="00E97393"/>
    <w:rsid w:val="00E973F2"/>
    <w:rsid w:val="00E97552"/>
    <w:rsid w:val="00EA001D"/>
    <w:rsid w:val="00EA032B"/>
    <w:rsid w:val="00EA060D"/>
    <w:rsid w:val="00EA21FE"/>
    <w:rsid w:val="00EA2DAB"/>
    <w:rsid w:val="00EA3468"/>
    <w:rsid w:val="00EA3604"/>
    <w:rsid w:val="00EA381A"/>
    <w:rsid w:val="00EA3F67"/>
    <w:rsid w:val="00EA412B"/>
    <w:rsid w:val="00EA42C4"/>
    <w:rsid w:val="00EA4415"/>
    <w:rsid w:val="00EA4F2C"/>
    <w:rsid w:val="00EA5778"/>
    <w:rsid w:val="00EA6027"/>
    <w:rsid w:val="00EA60F5"/>
    <w:rsid w:val="00EA668C"/>
    <w:rsid w:val="00EA67D1"/>
    <w:rsid w:val="00EA69FA"/>
    <w:rsid w:val="00EA728C"/>
    <w:rsid w:val="00EA7A3E"/>
    <w:rsid w:val="00EA7A6C"/>
    <w:rsid w:val="00EB0415"/>
    <w:rsid w:val="00EB11C0"/>
    <w:rsid w:val="00EB1263"/>
    <w:rsid w:val="00EB2620"/>
    <w:rsid w:val="00EB27A2"/>
    <w:rsid w:val="00EB29A7"/>
    <w:rsid w:val="00EB2F2E"/>
    <w:rsid w:val="00EB43A7"/>
    <w:rsid w:val="00EB46B1"/>
    <w:rsid w:val="00EB4762"/>
    <w:rsid w:val="00EB5094"/>
    <w:rsid w:val="00EB54AF"/>
    <w:rsid w:val="00EB61A0"/>
    <w:rsid w:val="00EB69E8"/>
    <w:rsid w:val="00EB6A6C"/>
    <w:rsid w:val="00EB7396"/>
    <w:rsid w:val="00EB7928"/>
    <w:rsid w:val="00EB7B6F"/>
    <w:rsid w:val="00EC0424"/>
    <w:rsid w:val="00EC08BE"/>
    <w:rsid w:val="00EC0BFF"/>
    <w:rsid w:val="00EC0FF3"/>
    <w:rsid w:val="00EC1940"/>
    <w:rsid w:val="00EC1D36"/>
    <w:rsid w:val="00EC200C"/>
    <w:rsid w:val="00EC3544"/>
    <w:rsid w:val="00EC3D0D"/>
    <w:rsid w:val="00EC3D67"/>
    <w:rsid w:val="00EC4707"/>
    <w:rsid w:val="00EC4A04"/>
    <w:rsid w:val="00EC51A2"/>
    <w:rsid w:val="00EC57FD"/>
    <w:rsid w:val="00EC5E7A"/>
    <w:rsid w:val="00EC65F2"/>
    <w:rsid w:val="00EC6FE6"/>
    <w:rsid w:val="00EC7184"/>
    <w:rsid w:val="00EC79D3"/>
    <w:rsid w:val="00EC79EF"/>
    <w:rsid w:val="00ED06CF"/>
    <w:rsid w:val="00ED121F"/>
    <w:rsid w:val="00ED13E2"/>
    <w:rsid w:val="00ED1579"/>
    <w:rsid w:val="00ED1E98"/>
    <w:rsid w:val="00ED1FFD"/>
    <w:rsid w:val="00ED2625"/>
    <w:rsid w:val="00ED32B3"/>
    <w:rsid w:val="00ED3323"/>
    <w:rsid w:val="00ED3891"/>
    <w:rsid w:val="00ED3D30"/>
    <w:rsid w:val="00ED40B2"/>
    <w:rsid w:val="00ED4687"/>
    <w:rsid w:val="00ED47E0"/>
    <w:rsid w:val="00ED5881"/>
    <w:rsid w:val="00ED58A4"/>
    <w:rsid w:val="00ED6EE7"/>
    <w:rsid w:val="00ED774B"/>
    <w:rsid w:val="00ED7C60"/>
    <w:rsid w:val="00EE1122"/>
    <w:rsid w:val="00EE1F29"/>
    <w:rsid w:val="00EE1F8D"/>
    <w:rsid w:val="00EE20BB"/>
    <w:rsid w:val="00EE212B"/>
    <w:rsid w:val="00EE21CF"/>
    <w:rsid w:val="00EE2C19"/>
    <w:rsid w:val="00EE339D"/>
    <w:rsid w:val="00EE3477"/>
    <w:rsid w:val="00EE3679"/>
    <w:rsid w:val="00EE3EE1"/>
    <w:rsid w:val="00EE4195"/>
    <w:rsid w:val="00EE503B"/>
    <w:rsid w:val="00EE51EB"/>
    <w:rsid w:val="00EE6072"/>
    <w:rsid w:val="00EE61CF"/>
    <w:rsid w:val="00EE633D"/>
    <w:rsid w:val="00EE68AB"/>
    <w:rsid w:val="00EE74C5"/>
    <w:rsid w:val="00EE7756"/>
    <w:rsid w:val="00EF0436"/>
    <w:rsid w:val="00EF12D4"/>
    <w:rsid w:val="00EF143C"/>
    <w:rsid w:val="00EF164A"/>
    <w:rsid w:val="00EF16B3"/>
    <w:rsid w:val="00EF1EE9"/>
    <w:rsid w:val="00EF2718"/>
    <w:rsid w:val="00EF2944"/>
    <w:rsid w:val="00EF2ED1"/>
    <w:rsid w:val="00EF2F41"/>
    <w:rsid w:val="00EF31BB"/>
    <w:rsid w:val="00EF3253"/>
    <w:rsid w:val="00EF3284"/>
    <w:rsid w:val="00EF3883"/>
    <w:rsid w:val="00EF3B00"/>
    <w:rsid w:val="00EF3C2C"/>
    <w:rsid w:val="00EF4E44"/>
    <w:rsid w:val="00EF4EA4"/>
    <w:rsid w:val="00EF5A73"/>
    <w:rsid w:val="00EF601D"/>
    <w:rsid w:val="00EF6305"/>
    <w:rsid w:val="00EF69A1"/>
    <w:rsid w:val="00EF6D63"/>
    <w:rsid w:val="00EF70F9"/>
    <w:rsid w:val="00EF7656"/>
    <w:rsid w:val="00F00387"/>
    <w:rsid w:val="00F00DAF"/>
    <w:rsid w:val="00F00F3E"/>
    <w:rsid w:val="00F00FAB"/>
    <w:rsid w:val="00F011DA"/>
    <w:rsid w:val="00F011DF"/>
    <w:rsid w:val="00F0130D"/>
    <w:rsid w:val="00F02145"/>
    <w:rsid w:val="00F023B9"/>
    <w:rsid w:val="00F0309A"/>
    <w:rsid w:val="00F03411"/>
    <w:rsid w:val="00F03558"/>
    <w:rsid w:val="00F03777"/>
    <w:rsid w:val="00F03982"/>
    <w:rsid w:val="00F039D0"/>
    <w:rsid w:val="00F03E76"/>
    <w:rsid w:val="00F03F4B"/>
    <w:rsid w:val="00F04473"/>
    <w:rsid w:val="00F04485"/>
    <w:rsid w:val="00F04A0E"/>
    <w:rsid w:val="00F05187"/>
    <w:rsid w:val="00F05586"/>
    <w:rsid w:val="00F058A2"/>
    <w:rsid w:val="00F05A63"/>
    <w:rsid w:val="00F05A83"/>
    <w:rsid w:val="00F05C80"/>
    <w:rsid w:val="00F0630A"/>
    <w:rsid w:val="00F071D6"/>
    <w:rsid w:val="00F073C7"/>
    <w:rsid w:val="00F07AFE"/>
    <w:rsid w:val="00F07CE5"/>
    <w:rsid w:val="00F11731"/>
    <w:rsid w:val="00F1182E"/>
    <w:rsid w:val="00F1250F"/>
    <w:rsid w:val="00F125BE"/>
    <w:rsid w:val="00F12996"/>
    <w:rsid w:val="00F12E23"/>
    <w:rsid w:val="00F12E75"/>
    <w:rsid w:val="00F13221"/>
    <w:rsid w:val="00F138CC"/>
    <w:rsid w:val="00F13E5E"/>
    <w:rsid w:val="00F1420C"/>
    <w:rsid w:val="00F142F4"/>
    <w:rsid w:val="00F14CAA"/>
    <w:rsid w:val="00F15667"/>
    <w:rsid w:val="00F15726"/>
    <w:rsid w:val="00F1576B"/>
    <w:rsid w:val="00F15F7A"/>
    <w:rsid w:val="00F16A00"/>
    <w:rsid w:val="00F17409"/>
    <w:rsid w:val="00F20527"/>
    <w:rsid w:val="00F20917"/>
    <w:rsid w:val="00F20A5B"/>
    <w:rsid w:val="00F20D02"/>
    <w:rsid w:val="00F211DB"/>
    <w:rsid w:val="00F212D4"/>
    <w:rsid w:val="00F219AE"/>
    <w:rsid w:val="00F21CAF"/>
    <w:rsid w:val="00F221D7"/>
    <w:rsid w:val="00F2235D"/>
    <w:rsid w:val="00F22F50"/>
    <w:rsid w:val="00F23B72"/>
    <w:rsid w:val="00F23BAC"/>
    <w:rsid w:val="00F24EEE"/>
    <w:rsid w:val="00F25C3F"/>
    <w:rsid w:val="00F264E7"/>
    <w:rsid w:val="00F30518"/>
    <w:rsid w:val="00F30DA2"/>
    <w:rsid w:val="00F330CC"/>
    <w:rsid w:val="00F337D4"/>
    <w:rsid w:val="00F33898"/>
    <w:rsid w:val="00F338EC"/>
    <w:rsid w:val="00F338FB"/>
    <w:rsid w:val="00F33B42"/>
    <w:rsid w:val="00F33DCE"/>
    <w:rsid w:val="00F34269"/>
    <w:rsid w:val="00F34B5E"/>
    <w:rsid w:val="00F35508"/>
    <w:rsid w:val="00F356B8"/>
    <w:rsid w:val="00F35972"/>
    <w:rsid w:val="00F359ED"/>
    <w:rsid w:val="00F35F09"/>
    <w:rsid w:val="00F35F44"/>
    <w:rsid w:val="00F364B4"/>
    <w:rsid w:val="00F367E3"/>
    <w:rsid w:val="00F37BC0"/>
    <w:rsid w:val="00F4062A"/>
    <w:rsid w:val="00F40B34"/>
    <w:rsid w:val="00F4119A"/>
    <w:rsid w:val="00F41A73"/>
    <w:rsid w:val="00F41BE0"/>
    <w:rsid w:val="00F41D1C"/>
    <w:rsid w:val="00F41F6C"/>
    <w:rsid w:val="00F42D9A"/>
    <w:rsid w:val="00F431B6"/>
    <w:rsid w:val="00F4392D"/>
    <w:rsid w:val="00F43D3D"/>
    <w:rsid w:val="00F43FB9"/>
    <w:rsid w:val="00F440A5"/>
    <w:rsid w:val="00F44549"/>
    <w:rsid w:val="00F44855"/>
    <w:rsid w:val="00F44E75"/>
    <w:rsid w:val="00F452FF"/>
    <w:rsid w:val="00F453C4"/>
    <w:rsid w:val="00F460A8"/>
    <w:rsid w:val="00F465FE"/>
    <w:rsid w:val="00F46AE2"/>
    <w:rsid w:val="00F473E5"/>
    <w:rsid w:val="00F47B38"/>
    <w:rsid w:val="00F50778"/>
    <w:rsid w:val="00F50F78"/>
    <w:rsid w:val="00F51845"/>
    <w:rsid w:val="00F522CE"/>
    <w:rsid w:val="00F52D57"/>
    <w:rsid w:val="00F5344E"/>
    <w:rsid w:val="00F53967"/>
    <w:rsid w:val="00F5452D"/>
    <w:rsid w:val="00F545FF"/>
    <w:rsid w:val="00F554F2"/>
    <w:rsid w:val="00F55D53"/>
    <w:rsid w:val="00F56E5F"/>
    <w:rsid w:val="00F572E5"/>
    <w:rsid w:val="00F5786F"/>
    <w:rsid w:val="00F61D74"/>
    <w:rsid w:val="00F6224D"/>
    <w:rsid w:val="00F6298B"/>
    <w:rsid w:val="00F62AB0"/>
    <w:rsid w:val="00F6315F"/>
    <w:rsid w:val="00F63942"/>
    <w:rsid w:val="00F6433D"/>
    <w:rsid w:val="00F646AA"/>
    <w:rsid w:val="00F654A5"/>
    <w:rsid w:val="00F657B2"/>
    <w:rsid w:val="00F659EE"/>
    <w:rsid w:val="00F65EB1"/>
    <w:rsid w:val="00F65FB2"/>
    <w:rsid w:val="00F661B1"/>
    <w:rsid w:val="00F66610"/>
    <w:rsid w:val="00F66A23"/>
    <w:rsid w:val="00F66BEF"/>
    <w:rsid w:val="00F6734C"/>
    <w:rsid w:val="00F67883"/>
    <w:rsid w:val="00F7095F"/>
    <w:rsid w:val="00F709A6"/>
    <w:rsid w:val="00F70C3A"/>
    <w:rsid w:val="00F71111"/>
    <w:rsid w:val="00F722EE"/>
    <w:rsid w:val="00F724E4"/>
    <w:rsid w:val="00F72B26"/>
    <w:rsid w:val="00F72E5A"/>
    <w:rsid w:val="00F7339E"/>
    <w:rsid w:val="00F733EE"/>
    <w:rsid w:val="00F7353A"/>
    <w:rsid w:val="00F736F4"/>
    <w:rsid w:val="00F73DA1"/>
    <w:rsid w:val="00F750A4"/>
    <w:rsid w:val="00F757E3"/>
    <w:rsid w:val="00F762C8"/>
    <w:rsid w:val="00F764F3"/>
    <w:rsid w:val="00F76F1A"/>
    <w:rsid w:val="00F7749F"/>
    <w:rsid w:val="00F8003E"/>
    <w:rsid w:val="00F80795"/>
    <w:rsid w:val="00F80F9A"/>
    <w:rsid w:val="00F810AD"/>
    <w:rsid w:val="00F813C8"/>
    <w:rsid w:val="00F8151F"/>
    <w:rsid w:val="00F8158C"/>
    <w:rsid w:val="00F81785"/>
    <w:rsid w:val="00F8272C"/>
    <w:rsid w:val="00F82907"/>
    <w:rsid w:val="00F82A35"/>
    <w:rsid w:val="00F82BC2"/>
    <w:rsid w:val="00F83350"/>
    <w:rsid w:val="00F83361"/>
    <w:rsid w:val="00F83399"/>
    <w:rsid w:val="00F83A18"/>
    <w:rsid w:val="00F8433D"/>
    <w:rsid w:val="00F84BE4"/>
    <w:rsid w:val="00F85008"/>
    <w:rsid w:val="00F852DC"/>
    <w:rsid w:val="00F85E9D"/>
    <w:rsid w:val="00F85EE8"/>
    <w:rsid w:val="00F85F28"/>
    <w:rsid w:val="00F867BD"/>
    <w:rsid w:val="00F86D77"/>
    <w:rsid w:val="00F8749B"/>
    <w:rsid w:val="00F87CEB"/>
    <w:rsid w:val="00F87D93"/>
    <w:rsid w:val="00F87FBA"/>
    <w:rsid w:val="00F9077C"/>
    <w:rsid w:val="00F909B8"/>
    <w:rsid w:val="00F909F5"/>
    <w:rsid w:val="00F90CEB"/>
    <w:rsid w:val="00F919F0"/>
    <w:rsid w:val="00F91C98"/>
    <w:rsid w:val="00F9269D"/>
    <w:rsid w:val="00F93D97"/>
    <w:rsid w:val="00F94343"/>
    <w:rsid w:val="00F9436C"/>
    <w:rsid w:val="00F94B0C"/>
    <w:rsid w:val="00F94CD0"/>
    <w:rsid w:val="00F94E96"/>
    <w:rsid w:val="00F95149"/>
    <w:rsid w:val="00F964A7"/>
    <w:rsid w:val="00F966B9"/>
    <w:rsid w:val="00F968E6"/>
    <w:rsid w:val="00F96AB6"/>
    <w:rsid w:val="00FA00E6"/>
    <w:rsid w:val="00FA0EDA"/>
    <w:rsid w:val="00FA1A47"/>
    <w:rsid w:val="00FA2043"/>
    <w:rsid w:val="00FA20F0"/>
    <w:rsid w:val="00FA2201"/>
    <w:rsid w:val="00FA222E"/>
    <w:rsid w:val="00FA29C5"/>
    <w:rsid w:val="00FA2B2E"/>
    <w:rsid w:val="00FA349A"/>
    <w:rsid w:val="00FA3623"/>
    <w:rsid w:val="00FA381C"/>
    <w:rsid w:val="00FA3FB0"/>
    <w:rsid w:val="00FA3FF1"/>
    <w:rsid w:val="00FA4782"/>
    <w:rsid w:val="00FA47D3"/>
    <w:rsid w:val="00FA5B89"/>
    <w:rsid w:val="00FA5F93"/>
    <w:rsid w:val="00FA6135"/>
    <w:rsid w:val="00FA6492"/>
    <w:rsid w:val="00FA6552"/>
    <w:rsid w:val="00FA6ED7"/>
    <w:rsid w:val="00FA7C89"/>
    <w:rsid w:val="00FB0E7E"/>
    <w:rsid w:val="00FB1290"/>
    <w:rsid w:val="00FB18CB"/>
    <w:rsid w:val="00FB2066"/>
    <w:rsid w:val="00FB428F"/>
    <w:rsid w:val="00FB4491"/>
    <w:rsid w:val="00FB4A94"/>
    <w:rsid w:val="00FB4BB3"/>
    <w:rsid w:val="00FB4D86"/>
    <w:rsid w:val="00FB4F03"/>
    <w:rsid w:val="00FB502E"/>
    <w:rsid w:val="00FB5D31"/>
    <w:rsid w:val="00FB5D35"/>
    <w:rsid w:val="00FB5E43"/>
    <w:rsid w:val="00FB5EC5"/>
    <w:rsid w:val="00FB5FA8"/>
    <w:rsid w:val="00FB640B"/>
    <w:rsid w:val="00FB6478"/>
    <w:rsid w:val="00FB6B84"/>
    <w:rsid w:val="00FB7DFB"/>
    <w:rsid w:val="00FC03EA"/>
    <w:rsid w:val="00FC0686"/>
    <w:rsid w:val="00FC0ABF"/>
    <w:rsid w:val="00FC0B6A"/>
    <w:rsid w:val="00FC0D49"/>
    <w:rsid w:val="00FC1805"/>
    <w:rsid w:val="00FC23B4"/>
    <w:rsid w:val="00FC2411"/>
    <w:rsid w:val="00FC43C6"/>
    <w:rsid w:val="00FC476C"/>
    <w:rsid w:val="00FC5740"/>
    <w:rsid w:val="00FC5917"/>
    <w:rsid w:val="00FC6404"/>
    <w:rsid w:val="00FC65DF"/>
    <w:rsid w:val="00FC6D5F"/>
    <w:rsid w:val="00FC6F4E"/>
    <w:rsid w:val="00FC74E3"/>
    <w:rsid w:val="00FC766A"/>
    <w:rsid w:val="00FC78BA"/>
    <w:rsid w:val="00FC7A6D"/>
    <w:rsid w:val="00FC7ADE"/>
    <w:rsid w:val="00FD0232"/>
    <w:rsid w:val="00FD024D"/>
    <w:rsid w:val="00FD0302"/>
    <w:rsid w:val="00FD0726"/>
    <w:rsid w:val="00FD09C4"/>
    <w:rsid w:val="00FD1CA4"/>
    <w:rsid w:val="00FD2188"/>
    <w:rsid w:val="00FD21C7"/>
    <w:rsid w:val="00FD45C4"/>
    <w:rsid w:val="00FD484F"/>
    <w:rsid w:val="00FD4F22"/>
    <w:rsid w:val="00FD4FC1"/>
    <w:rsid w:val="00FD6648"/>
    <w:rsid w:val="00FD6981"/>
    <w:rsid w:val="00FD6A95"/>
    <w:rsid w:val="00FD6B4C"/>
    <w:rsid w:val="00FD7822"/>
    <w:rsid w:val="00FE00FA"/>
    <w:rsid w:val="00FE03EF"/>
    <w:rsid w:val="00FE0856"/>
    <w:rsid w:val="00FE1CAD"/>
    <w:rsid w:val="00FE1EA7"/>
    <w:rsid w:val="00FE2219"/>
    <w:rsid w:val="00FE2823"/>
    <w:rsid w:val="00FE34F6"/>
    <w:rsid w:val="00FE38CE"/>
    <w:rsid w:val="00FE3934"/>
    <w:rsid w:val="00FE3E72"/>
    <w:rsid w:val="00FE424D"/>
    <w:rsid w:val="00FE5BD1"/>
    <w:rsid w:val="00FE5E2A"/>
    <w:rsid w:val="00FE5FC6"/>
    <w:rsid w:val="00FE63F0"/>
    <w:rsid w:val="00FE6A1A"/>
    <w:rsid w:val="00FE6FE6"/>
    <w:rsid w:val="00FE7270"/>
    <w:rsid w:val="00FE79FF"/>
    <w:rsid w:val="00FF09D2"/>
    <w:rsid w:val="00FF0D66"/>
    <w:rsid w:val="00FF1884"/>
    <w:rsid w:val="00FF2178"/>
    <w:rsid w:val="00FF2ABD"/>
    <w:rsid w:val="00FF2BBB"/>
    <w:rsid w:val="00FF30B5"/>
    <w:rsid w:val="00FF3485"/>
    <w:rsid w:val="00FF3504"/>
    <w:rsid w:val="00FF3C5B"/>
    <w:rsid w:val="00FF3FBD"/>
    <w:rsid w:val="00FF4F54"/>
    <w:rsid w:val="00FF5BE4"/>
    <w:rsid w:val="00FF64CC"/>
    <w:rsid w:val="00FF64F2"/>
    <w:rsid w:val="00FF7FFD"/>
    <w:rsid w:val="01C04FAF"/>
    <w:rsid w:val="01F8682F"/>
    <w:rsid w:val="02076F1C"/>
    <w:rsid w:val="022F6084"/>
    <w:rsid w:val="02413721"/>
    <w:rsid w:val="025D08EA"/>
    <w:rsid w:val="0294685C"/>
    <w:rsid w:val="0295254F"/>
    <w:rsid w:val="031C69F7"/>
    <w:rsid w:val="03497F16"/>
    <w:rsid w:val="036430F8"/>
    <w:rsid w:val="03825BEC"/>
    <w:rsid w:val="03B13FD1"/>
    <w:rsid w:val="04205005"/>
    <w:rsid w:val="045D4612"/>
    <w:rsid w:val="0477292F"/>
    <w:rsid w:val="04B70785"/>
    <w:rsid w:val="04D70525"/>
    <w:rsid w:val="05DF7307"/>
    <w:rsid w:val="06237BCD"/>
    <w:rsid w:val="06524606"/>
    <w:rsid w:val="066B75EF"/>
    <w:rsid w:val="06793A4B"/>
    <w:rsid w:val="068943A3"/>
    <w:rsid w:val="068E22BE"/>
    <w:rsid w:val="06A64F55"/>
    <w:rsid w:val="06F55595"/>
    <w:rsid w:val="073D0CEA"/>
    <w:rsid w:val="07C66F31"/>
    <w:rsid w:val="07D66AB4"/>
    <w:rsid w:val="081C60AE"/>
    <w:rsid w:val="08674270"/>
    <w:rsid w:val="089F2E84"/>
    <w:rsid w:val="08E753B1"/>
    <w:rsid w:val="09762B6D"/>
    <w:rsid w:val="097E25CA"/>
    <w:rsid w:val="0A1F44C1"/>
    <w:rsid w:val="0A3A1D8C"/>
    <w:rsid w:val="0A3C63DE"/>
    <w:rsid w:val="0A402FCB"/>
    <w:rsid w:val="0A44451C"/>
    <w:rsid w:val="0A5C5A16"/>
    <w:rsid w:val="0A6B2D99"/>
    <w:rsid w:val="0AEC3153"/>
    <w:rsid w:val="0B125BA0"/>
    <w:rsid w:val="0B277403"/>
    <w:rsid w:val="0B7C44D7"/>
    <w:rsid w:val="0B9F3D21"/>
    <w:rsid w:val="0B9F3DD9"/>
    <w:rsid w:val="0BBE1AAA"/>
    <w:rsid w:val="0C197F77"/>
    <w:rsid w:val="0C622C66"/>
    <w:rsid w:val="0C663DBD"/>
    <w:rsid w:val="0C762CD4"/>
    <w:rsid w:val="0CA94F4A"/>
    <w:rsid w:val="0CC918E5"/>
    <w:rsid w:val="0D190151"/>
    <w:rsid w:val="0D5A5DFB"/>
    <w:rsid w:val="0E36101F"/>
    <w:rsid w:val="0E425F1C"/>
    <w:rsid w:val="0E954802"/>
    <w:rsid w:val="0E9A7D93"/>
    <w:rsid w:val="0EFA2040"/>
    <w:rsid w:val="0F2164F0"/>
    <w:rsid w:val="0F4C0664"/>
    <w:rsid w:val="0FEA70B8"/>
    <w:rsid w:val="10635C65"/>
    <w:rsid w:val="1064586F"/>
    <w:rsid w:val="107D1480"/>
    <w:rsid w:val="10833B54"/>
    <w:rsid w:val="10A122E9"/>
    <w:rsid w:val="10AF5F27"/>
    <w:rsid w:val="10DC6B6C"/>
    <w:rsid w:val="10F1257C"/>
    <w:rsid w:val="11056D1C"/>
    <w:rsid w:val="11184A89"/>
    <w:rsid w:val="111F14AE"/>
    <w:rsid w:val="11A24477"/>
    <w:rsid w:val="11A963CC"/>
    <w:rsid w:val="11ED40E2"/>
    <w:rsid w:val="122D0017"/>
    <w:rsid w:val="1246102E"/>
    <w:rsid w:val="12AA7B7B"/>
    <w:rsid w:val="12C501ED"/>
    <w:rsid w:val="12E56E05"/>
    <w:rsid w:val="13623775"/>
    <w:rsid w:val="13663C0F"/>
    <w:rsid w:val="140A2D42"/>
    <w:rsid w:val="145A44A4"/>
    <w:rsid w:val="147F4BD6"/>
    <w:rsid w:val="154B0F72"/>
    <w:rsid w:val="15B566B2"/>
    <w:rsid w:val="15CA6494"/>
    <w:rsid w:val="161C3165"/>
    <w:rsid w:val="169A7FC2"/>
    <w:rsid w:val="16F600D6"/>
    <w:rsid w:val="16FD4E7B"/>
    <w:rsid w:val="17352178"/>
    <w:rsid w:val="176027E8"/>
    <w:rsid w:val="17CD0700"/>
    <w:rsid w:val="18211D30"/>
    <w:rsid w:val="186D2B36"/>
    <w:rsid w:val="189854CC"/>
    <w:rsid w:val="197F2C9B"/>
    <w:rsid w:val="19A46910"/>
    <w:rsid w:val="19EB651B"/>
    <w:rsid w:val="1A332204"/>
    <w:rsid w:val="1AB418C9"/>
    <w:rsid w:val="1ADC1A3B"/>
    <w:rsid w:val="1B10622A"/>
    <w:rsid w:val="1B697EA8"/>
    <w:rsid w:val="1B802EA3"/>
    <w:rsid w:val="1B982D88"/>
    <w:rsid w:val="1BBC0AA7"/>
    <w:rsid w:val="1BD417C5"/>
    <w:rsid w:val="1BEA2306"/>
    <w:rsid w:val="1C4A553B"/>
    <w:rsid w:val="1CA7003D"/>
    <w:rsid w:val="1CD15804"/>
    <w:rsid w:val="1CD21D6A"/>
    <w:rsid w:val="1CDE6CE9"/>
    <w:rsid w:val="1D0A4ABE"/>
    <w:rsid w:val="1D266050"/>
    <w:rsid w:val="1D6B43AB"/>
    <w:rsid w:val="1D903E12"/>
    <w:rsid w:val="1DA875B0"/>
    <w:rsid w:val="1E0C1D1C"/>
    <w:rsid w:val="1E976FB1"/>
    <w:rsid w:val="1F64049D"/>
    <w:rsid w:val="20675D8F"/>
    <w:rsid w:val="207E2C51"/>
    <w:rsid w:val="20924D7A"/>
    <w:rsid w:val="20C0056A"/>
    <w:rsid w:val="20DA5ACF"/>
    <w:rsid w:val="21294F4F"/>
    <w:rsid w:val="212E1977"/>
    <w:rsid w:val="216A7683"/>
    <w:rsid w:val="21723942"/>
    <w:rsid w:val="219475E3"/>
    <w:rsid w:val="21A04281"/>
    <w:rsid w:val="21B030A3"/>
    <w:rsid w:val="21BA19E3"/>
    <w:rsid w:val="21DF093D"/>
    <w:rsid w:val="22236EC9"/>
    <w:rsid w:val="22600F83"/>
    <w:rsid w:val="22BD7457"/>
    <w:rsid w:val="22EC5646"/>
    <w:rsid w:val="2332220A"/>
    <w:rsid w:val="233649DC"/>
    <w:rsid w:val="235758EF"/>
    <w:rsid w:val="239F7D07"/>
    <w:rsid w:val="23EC5CF6"/>
    <w:rsid w:val="23F21382"/>
    <w:rsid w:val="242E27E4"/>
    <w:rsid w:val="24A245FE"/>
    <w:rsid w:val="24C763B1"/>
    <w:rsid w:val="24EF2802"/>
    <w:rsid w:val="250D4C8F"/>
    <w:rsid w:val="256B0C59"/>
    <w:rsid w:val="25C6365F"/>
    <w:rsid w:val="260D6C9D"/>
    <w:rsid w:val="2638527B"/>
    <w:rsid w:val="2648021D"/>
    <w:rsid w:val="26E848C5"/>
    <w:rsid w:val="27547C5E"/>
    <w:rsid w:val="27DD7193"/>
    <w:rsid w:val="28075C4D"/>
    <w:rsid w:val="28235FAE"/>
    <w:rsid w:val="28BE567C"/>
    <w:rsid w:val="28E82B25"/>
    <w:rsid w:val="28EF092A"/>
    <w:rsid w:val="28F33F35"/>
    <w:rsid w:val="2909003A"/>
    <w:rsid w:val="29745A20"/>
    <w:rsid w:val="29CD3F14"/>
    <w:rsid w:val="29EC2739"/>
    <w:rsid w:val="2A53333F"/>
    <w:rsid w:val="2A5B6288"/>
    <w:rsid w:val="2B047ED8"/>
    <w:rsid w:val="2B3B5BBF"/>
    <w:rsid w:val="2B4863A5"/>
    <w:rsid w:val="2BB30C25"/>
    <w:rsid w:val="2C703F14"/>
    <w:rsid w:val="2CAC1B0A"/>
    <w:rsid w:val="2CB2349A"/>
    <w:rsid w:val="2CDC35F1"/>
    <w:rsid w:val="2CEB605A"/>
    <w:rsid w:val="2D772B9A"/>
    <w:rsid w:val="2D863F6B"/>
    <w:rsid w:val="2D975304"/>
    <w:rsid w:val="2DB94CBF"/>
    <w:rsid w:val="2DCC2BE9"/>
    <w:rsid w:val="2EB57234"/>
    <w:rsid w:val="2EBC7836"/>
    <w:rsid w:val="2EED4087"/>
    <w:rsid w:val="2F11589E"/>
    <w:rsid w:val="2F143508"/>
    <w:rsid w:val="2F2C4276"/>
    <w:rsid w:val="2FBE036A"/>
    <w:rsid w:val="2FDA4FF2"/>
    <w:rsid w:val="30531F80"/>
    <w:rsid w:val="30933128"/>
    <w:rsid w:val="30F061CF"/>
    <w:rsid w:val="30F142D4"/>
    <w:rsid w:val="3132180B"/>
    <w:rsid w:val="314D65E2"/>
    <w:rsid w:val="315E424C"/>
    <w:rsid w:val="31916161"/>
    <w:rsid w:val="31A6176C"/>
    <w:rsid w:val="32244508"/>
    <w:rsid w:val="323751A9"/>
    <w:rsid w:val="323D406C"/>
    <w:rsid w:val="326C67A3"/>
    <w:rsid w:val="327C192F"/>
    <w:rsid w:val="32860DC1"/>
    <w:rsid w:val="328772C5"/>
    <w:rsid w:val="32F939F7"/>
    <w:rsid w:val="33055890"/>
    <w:rsid w:val="33510C23"/>
    <w:rsid w:val="33885468"/>
    <w:rsid w:val="33A55CE0"/>
    <w:rsid w:val="343E63E9"/>
    <w:rsid w:val="34911A5C"/>
    <w:rsid w:val="35206F11"/>
    <w:rsid w:val="35460674"/>
    <w:rsid w:val="3569521C"/>
    <w:rsid w:val="35AD5829"/>
    <w:rsid w:val="35B5085D"/>
    <w:rsid w:val="35D816E6"/>
    <w:rsid w:val="3654463E"/>
    <w:rsid w:val="37443253"/>
    <w:rsid w:val="374B437C"/>
    <w:rsid w:val="375574C3"/>
    <w:rsid w:val="37887BDC"/>
    <w:rsid w:val="37ED5F9B"/>
    <w:rsid w:val="37F70BA0"/>
    <w:rsid w:val="38370AB6"/>
    <w:rsid w:val="38C06F01"/>
    <w:rsid w:val="38D56C58"/>
    <w:rsid w:val="38FD43C8"/>
    <w:rsid w:val="39125B60"/>
    <w:rsid w:val="39311BAD"/>
    <w:rsid w:val="396F0E77"/>
    <w:rsid w:val="39F37B5E"/>
    <w:rsid w:val="3A873AAC"/>
    <w:rsid w:val="3AA80595"/>
    <w:rsid w:val="3B3B31B7"/>
    <w:rsid w:val="3B4958D4"/>
    <w:rsid w:val="3B7F0541"/>
    <w:rsid w:val="3BF82645"/>
    <w:rsid w:val="3BFE5303"/>
    <w:rsid w:val="3CC32DAC"/>
    <w:rsid w:val="3D265966"/>
    <w:rsid w:val="3D7F40B0"/>
    <w:rsid w:val="3E0A68FA"/>
    <w:rsid w:val="3E1F46CA"/>
    <w:rsid w:val="3EDB4801"/>
    <w:rsid w:val="3F481C68"/>
    <w:rsid w:val="3FAF31D0"/>
    <w:rsid w:val="401F6C03"/>
    <w:rsid w:val="40980764"/>
    <w:rsid w:val="40A5430A"/>
    <w:rsid w:val="415D5D50"/>
    <w:rsid w:val="41971F4D"/>
    <w:rsid w:val="422A717B"/>
    <w:rsid w:val="423D15C3"/>
    <w:rsid w:val="42446DF5"/>
    <w:rsid w:val="425B5C5E"/>
    <w:rsid w:val="42DC527F"/>
    <w:rsid w:val="43160791"/>
    <w:rsid w:val="436160CC"/>
    <w:rsid w:val="43F73B29"/>
    <w:rsid w:val="44197076"/>
    <w:rsid w:val="441D5B50"/>
    <w:rsid w:val="442249D1"/>
    <w:rsid w:val="446169CD"/>
    <w:rsid w:val="446D233C"/>
    <w:rsid w:val="4488746D"/>
    <w:rsid w:val="44AD27D2"/>
    <w:rsid w:val="44B518E4"/>
    <w:rsid w:val="45A41279"/>
    <w:rsid w:val="45AA16C7"/>
    <w:rsid w:val="46255CDA"/>
    <w:rsid w:val="463137E8"/>
    <w:rsid w:val="468B152C"/>
    <w:rsid w:val="46C2103E"/>
    <w:rsid w:val="47222764"/>
    <w:rsid w:val="47E0136E"/>
    <w:rsid w:val="47F548BD"/>
    <w:rsid w:val="481A58CB"/>
    <w:rsid w:val="48270A8C"/>
    <w:rsid w:val="4837354E"/>
    <w:rsid w:val="49893261"/>
    <w:rsid w:val="498C3418"/>
    <w:rsid w:val="49A955E4"/>
    <w:rsid w:val="49C01457"/>
    <w:rsid w:val="4A3E7BF2"/>
    <w:rsid w:val="4AD57821"/>
    <w:rsid w:val="4B110B04"/>
    <w:rsid w:val="4B184861"/>
    <w:rsid w:val="4B2005B3"/>
    <w:rsid w:val="4B320132"/>
    <w:rsid w:val="4B3A776A"/>
    <w:rsid w:val="4BF57D7E"/>
    <w:rsid w:val="4C3954F1"/>
    <w:rsid w:val="4C934C01"/>
    <w:rsid w:val="4CCA6EED"/>
    <w:rsid w:val="4D3C517F"/>
    <w:rsid w:val="4D63205D"/>
    <w:rsid w:val="4DDB11B3"/>
    <w:rsid w:val="4DF70D8B"/>
    <w:rsid w:val="4E042092"/>
    <w:rsid w:val="4EAB00B5"/>
    <w:rsid w:val="4EAD5B34"/>
    <w:rsid w:val="4F7D6338"/>
    <w:rsid w:val="4FC66706"/>
    <w:rsid w:val="4FE70D2D"/>
    <w:rsid w:val="509E37D2"/>
    <w:rsid w:val="50CF4C80"/>
    <w:rsid w:val="50E664B1"/>
    <w:rsid w:val="513B13C3"/>
    <w:rsid w:val="51984A67"/>
    <w:rsid w:val="51C42066"/>
    <w:rsid w:val="51EC1922"/>
    <w:rsid w:val="520A46B1"/>
    <w:rsid w:val="520D7F56"/>
    <w:rsid w:val="525D338A"/>
    <w:rsid w:val="52C57C3D"/>
    <w:rsid w:val="52DD0277"/>
    <w:rsid w:val="52E02222"/>
    <w:rsid w:val="532F61F7"/>
    <w:rsid w:val="534A3B3F"/>
    <w:rsid w:val="53654E1D"/>
    <w:rsid w:val="53A22B62"/>
    <w:rsid w:val="53AB7271"/>
    <w:rsid w:val="549C78FB"/>
    <w:rsid w:val="54C27CA9"/>
    <w:rsid w:val="55236D3E"/>
    <w:rsid w:val="55377B70"/>
    <w:rsid w:val="555962BC"/>
    <w:rsid w:val="559519EA"/>
    <w:rsid w:val="559F73CF"/>
    <w:rsid w:val="560721BC"/>
    <w:rsid w:val="56091890"/>
    <w:rsid w:val="562B7536"/>
    <w:rsid w:val="56324F2D"/>
    <w:rsid w:val="568A066A"/>
    <w:rsid w:val="56D855EA"/>
    <w:rsid w:val="56E01359"/>
    <w:rsid w:val="57126063"/>
    <w:rsid w:val="57565C1A"/>
    <w:rsid w:val="575A7D17"/>
    <w:rsid w:val="57B726C5"/>
    <w:rsid w:val="57FA5906"/>
    <w:rsid w:val="58975ACC"/>
    <w:rsid w:val="58C06914"/>
    <w:rsid w:val="59056761"/>
    <w:rsid w:val="594A15FC"/>
    <w:rsid w:val="594F471B"/>
    <w:rsid w:val="59571EB7"/>
    <w:rsid w:val="59952060"/>
    <w:rsid w:val="59C97EB4"/>
    <w:rsid w:val="59E6706B"/>
    <w:rsid w:val="5A25624B"/>
    <w:rsid w:val="5A3942AC"/>
    <w:rsid w:val="5A3D7F5A"/>
    <w:rsid w:val="5A901D6E"/>
    <w:rsid w:val="5AEB20AC"/>
    <w:rsid w:val="5B3657C0"/>
    <w:rsid w:val="5B774793"/>
    <w:rsid w:val="5C1304A9"/>
    <w:rsid w:val="5C535BEA"/>
    <w:rsid w:val="5C5A7EBD"/>
    <w:rsid w:val="5CC2508E"/>
    <w:rsid w:val="5D360430"/>
    <w:rsid w:val="5D465377"/>
    <w:rsid w:val="5D6F0D72"/>
    <w:rsid w:val="5DB158A3"/>
    <w:rsid w:val="5DD16E72"/>
    <w:rsid w:val="5E6F6F0F"/>
    <w:rsid w:val="5EB71234"/>
    <w:rsid w:val="5ED2780B"/>
    <w:rsid w:val="5F0E2A70"/>
    <w:rsid w:val="5F3E4655"/>
    <w:rsid w:val="5F427DC1"/>
    <w:rsid w:val="5F546971"/>
    <w:rsid w:val="5FD764CE"/>
    <w:rsid w:val="603A5154"/>
    <w:rsid w:val="60545300"/>
    <w:rsid w:val="606676C1"/>
    <w:rsid w:val="60740A52"/>
    <w:rsid w:val="60B10516"/>
    <w:rsid w:val="611A7247"/>
    <w:rsid w:val="61221C81"/>
    <w:rsid w:val="61286485"/>
    <w:rsid w:val="61AB7E9F"/>
    <w:rsid w:val="620617EB"/>
    <w:rsid w:val="628C37A4"/>
    <w:rsid w:val="62D355EE"/>
    <w:rsid w:val="6371033E"/>
    <w:rsid w:val="63784F92"/>
    <w:rsid w:val="63B75221"/>
    <w:rsid w:val="63EF49BB"/>
    <w:rsid w:val="64262AEA"/>
    <w:rsid w:val="650D5EA6"/>
    <w:rsid w:val="65102E3B"/>
    <w:rsid w:val="6516145B"/>
    <w:rsid w:val="6546636E"/>
    <w:rsid w:val="656B02AC"/>
    <w:rsid w:val="65BD66BC"/>
    <w:rsid w:val="65DE14D4"/>
    <w:rsid w:val="662606CD"/>
    <w:rsid w:val="662E30D4"/>
    <w:rsid w:val="66D47E98"/>
    <w:rsid w:val="670B7EB5"/>
    <w:rsid w:val="671D6E9F"/>
    <w:rsid w:val="67793334"/>
    <w:rsid w:val="67B354E2"/>
    <w:rsid w:val="689A0CBB"/>
    <w:rsid w:val="68C33EE6"/>
    <w:rsid w:val="68C62326"/>
    <w:rsid w:val="69C66D7A"/>
    <w:rsid w:val="69F75C4F"/>
    <w:rsid w:val="6A167CAF"/>
    <w:rsid w:val="6A386990"/>
    <w:rsid w:val="6A6D0744"/>
    <w:rsid w:val="6A762EFA"/>
    <w:rsid w:val="6A9304AE"/>
    <w:rsid w:val="6A9432D1"/>
    <w:rsid w:val="6B106FC5"/>
    <w:rsid w:val="6B760A1C"/>
    <w:rsid w:val="6BDD4675"/>
    <w:rsid w:val="6BE96194"/>
    <w:rsid w:val="6C260E0F"/>
    <w:rsid w:val="6C8C157E"/>
    <w:rsid w:val="6D2B1CCC"/>
    <w:rsid w:val="6D8D3E69"/>
    <w:rsid w:val="6E1A258D"/>
    <w:rsid w:val="6E533D98"/>
    <w:rsid w:val="6E9320AD"/>
    <w:rsid w:val="6EAD4CA1"/>
    <w:rsid w:val="6EBD1212"/>
    <w:rsid w:val="6ED722D3"/>
    <w:rsid w:val="6EE36ECA"/>
    <w:rsid w:val="6F2B7AD0"/>
    <w:rsid w:val="6F5B73A8"/>
    <w:rsid w:val="6FA67EF8"/>
    <w:rsid w:val="70480FAF"/>
    <w:rsid w:val="706B361B"/>
    <w:rsid w:val="709727AE"/>
    <w:rsid w:val="709C1A26"/>
    <w:rsid w:val="70F152DD"/>
    <w:rsid w:val="710D46D2"/>
    <w:rsid w:val="71937361"/>
    <w:rsid w:val="71D40D4C"/>
    <w:rsid w:val="71ED6CDC"/>
    <w:rsid w:val="72347A3D"/>
    <w:rsid w:val="72751F67"/>
    <w:rsid w:val="72757DD5"/>
    <w:rsid w:val="72CB1A81"/>
    <w:rsid w:val="731A6C2D"/>
    <w:rsid w:val="733931EB"/>
    <w:rsid w:val="737522D6"/>
    <w:rsid w:val="7386199C"/>
    <w:rsid w:val="738657CF"/>
    <w:rsid w:val="745D327B"/>
    <w:rsid w:val="74D878B7"/>
    <w:rsid w:val="75442A3D"/>
    <w:rsid w:val="759240E7"/>
    <w:rsid w:val="759728B0"/>
    <w:rsid w:val="759929D8"/>
    <w:rsid w:val="75B72D06"/>
    <w:rsid w:val="75BB00F6"/>
    <w:rsid w:val="75C64E50"/>
    <w:rsid w:val="75C75403"/>
    <w:rsid w:val="75CE1F56"/>
    <w:rsid w:val="75DB4648"/>
    <w:rsid w:val="76004806"/>
    <w:rsid w:val="761C5B88"/>
    <w:rsid w:val="76876CD5"/>
    <w:rsid w:val="76D94390"/>
    <w:rsid w:val="76FE4574"/>
    <w:rsid w:val="77186C08"/>
    <w:rsid w:val="77633F56"/>
    <w:rsid w:val="77634C90"/>
    <w:rsid w:val="777A1894"/>
    <w:rsid w:val="778B0256"/>
    <w:rsid w:val="7820372B"/>
    <w:rsid w:val="782136F5"/>
    <w:rsid w:val="783F0EE9"/>
    <w:rsid w:val="788A6608"/>
    <w:rsid w:val="78AA58E8"/>
    <w:rsid w:val="79081359"/>
    <w:rsid w:val="795C548D"/>
    <w:rsid w:val="79750736"/>
    <w:rsid w:val="797A3B2F"/>
    <w:rsid w:val="7A232871"/>
    <w:rsid w:val="7A3B400E"/>
    <w:rsid w:val="7A5D1C0F"/>
    <w:rsid w:val="7A745196"/>
    <w:rsid w:val="7AC93DF7"/>
    <w:rsid w:val="7B0C59FB"/>
    <w:rsid w:val="7B3A3295"/>
    <w:rsid w:val="7B6F03AF"/>
    <w:rsid w:val="7B9A4DB4"/>
    <w:rsid w:val="7BE75C70"/>
    <w:rsid w:val="7BF907C1"/>
    <w:rsid w:val="7C131FBC"/>
    <w:rsid w:val="7C207E72"/>
    <w:rsid w:val="7C4003DA"/>
    <w:rsid w:val="7CE3536B"/>
    <w:rsid w:val="7D000441"/>
    <w:rsid w:val="7D6E2758"/>
    <w:rsid w:val="7F0E5140"/>
    <w:rsid w:val="7FA61B64"/>
    <w:rsid w:val="7FC1242B"/>
    <w:rsid w:val="7FCB5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dashstyle="dashDot"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jc w:val="center"/>
      <w:outlineLvl w:val="1"/>
    </w:pPr>
    <w:rPr>
      <w:rFonts w:ascii="宋体" w:hAnsi="宋体"/>
      <w:sz w:val="28"/>
      <w:szCs w:val="20"/>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tabs>
        <w:tab w:val="left" w:pos="2976"/>
      </w:tabs>
      <w:spacing w:before="280" w:after="290" w:line="376" w:lineRule="auto"/>
      <w:ind w:left="2551"/>
      <w:outlineLvl w:val="3"/>
    </w:pPr>
    <w:rPr>
      <w:rFonts w:ascii="Arial" w:hAnsi="Arial" w:eastAsia="黑体"/>
      <w:b/>
      <w:bCs/>
      <w:sz w:val="28"/>
      <w:szCs w:val="28"/>
    </w:rPr>
  </w:style>
  <w:style w:type="paragraph" w:styleId="6">
    <w:name w:val="heading 5"/>
    <w:basedOn w:val="1"/>
    <w:next w:val="1"/>
    <w:qFormat/>
    <w:uiPriority w:val="0"/>
    <w:pPr>
      <w:keepNext/>
      <w:keepLines/>
      <w:tabs>
        <w:tab w:val="left" w:pos="3827"/>
      </w:tabs>
      <w:spacing w:before="280" w:after="290" w:line="376" w:lineRule="auto"/>
      <w:ind w:left="3402"/>
      <w:outlineLvl w:val="4"/>
    </w:pPr>
    <w:rPr>
      <w:b/>
      <w:bCs/>
      <w:sz w:val="28"/>
      <w:szCs w:val="28"/>
    </w:rPr>
  </w:style>
  <w:style w:type="paragraph" w:styleId="7">
    <w:name w:val="heading 6"/>
    <w:basedOn w:val="1"/>
    <w:next w:val="1"/>
    <w:qFormat/>
    <w:uiPriority w:val="0"/>
    <w:pPr>
      <w:keepNext/>
      <w:keepLines/>
      <w:tabs>
        <w:tab w:val="left" w:pos="4677"/>
      </w:tabs>
      <w:spacing w:before="240" w:after="64" w:line="320" w:lineRule="auto"/>
      <w:ind w:left="4252"/>
      <w:outlineLvl w:val="5"/>
    </w:pPr>
    <w:rPr>
      <w:rFonts w:ascii="Arial" w:hAnsi="Arial" w:eastAsia="黑体"/>
      <w:b/>
      <w:bCs/>
      <w:sz w:val="24"/>
    </w:rPr>
  </w:style>
  <w:style w:type="paragraph" w:styleId="8">
    <w:name w:val="heading 7"/>
    <w:basedOn w:val="1"/>
    <w:next w:val="1"/>
    <w:qFormat/>
    <w:uiPriority w:val="0"/>
    <w:pPr>
      <w:keepNext/>
      <w:keepLines/>
      <w:tabs>
        <w:tab w:val="left" w:pos="5528"/>
      </w:tabs>
      <w:spacing w:before="240" w:after="64" w:line="320" w:lineRule="auto"/>
      <w:ind w:left="5102"/>
      <w:outlineLvl w:val="6"/>
    </w:pPr>
    <w:rPr>
      <w:b/>
      <w:bCs/>
      <w:sz w:val="24"/>
    </w:rPr>
  </w:style>
  <w:style w:type="paragraph" w:styleId="9">
    <w:name w:val="heading 8"/>
    <w:basedOn w:val="1"/>
    <w:next w:val="1"/>
    <w:qFormat/>
    <w:uiPriority w:val="0"/>
    <w:pPr>
      <w:keepNext/>
      <w:keepLines/>
      <w:tabs>
        <w:tab w:val="left" w:pos="6378"/>
      </w:tabs>
      <w:spacing w:before="240" w:after="64" w:line="320" w:lineRule="auto"/>
      <w:ind w:left="5953"/>
      <w:outlineLvl w:val="7"/>
    </w:pPr>
    <w:rPr>
      <w:rFonts w:ascii="Arial" w:hAnsi="Arial" w:eastAsia="黑体"/>
      <w:sz w:val="24"/>
    </w:rPr>
  </w:style>
  <w:style w:type="paragraph" w:styleId="10">
    <w:name w:val="heading 9"/>
    <w:basedOn w:val="1"/>
    <w:next w:val="1"/>
    <w:qFormat/>
    <w:uiPriority w:val="0"/>
    <w:pPr>
      <w:keepNext/>
      <w:keepLines/>
      <w:tabs>
        <w:tab w:val="left" w:pos="7228"/>
      </w:tabs>
      <w:spacing w:before="240" w:after="64" w:line="320" w:lineRule="auto"/>
      <w:ind w:left="6803"/>
      <w:outlineLvl w:val="8"/>
    </w:pPr>
    <w:rPr>
      <w:rFonts w:ascii="Arial" w:hAnsi="Arial" w:eastAsia="黑体"/>
      <w:szCs w:val="21"/>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79"/>
    <w:qFormat/>
    <w:uiPriority w:val="0"/>
    <w:pPr>
      <w:ind w:firstLine="420" w:firstLineChars="200"/>
    </w:pPr>
  </w:style>
  <w:style w:type="paragraph" w:styleId="12">
    <w:name w:val="Document Map"/>
    <w:basedOn w:val="1"/>
    <w:qFormat/>
    <w:uiPriority w:val="0"/>
    <w:pPr>
      <w:shd w:val="clear" w:color="auto" w:fill="000080"/>
    </w:pPr>
  </w:style>
  <w:style w:type="paragraph" w:styleId="13">
    <w:name w:val="annotation text"/>
    <w:basedOn w:val="1"/>
    <w:semiHidden/>
    <w:qFormat/>
    <w:uiPriority w:val="0"/>
    <w:pPr>
      <w:jc w:val="left"/>
    </w:pPr>
  </w:style>
  <w:style w:type="paragraph" w:styleId="14">
    <w:name w:val="Body Text 3"/>
    <w:basedOn w:val="1"/>
    <w:link w:val="91"/>
    <w:qFormat/>
    <w:uiPriority w:val="0"/>
    <w:pPr>
      <w:spacing w:line="360" w:lineRule="auto"/>
    </w:pPr>
    <w:rPr>
      <w:color w:val="FF0000"/>
    </w:rPr>
  </w:style>
  <w:style w:type="paragraph" w:styleId="15">
    <w:name w:val="Body Text"/>
    <w:basedOn w:val="1"/>
    <w:next w:val="1"/>
    <w:qFormat/>
    <w:uiPriority w:val="0"/>
    <w:pPr>
      <w:jc w:val="center"/>
    </w:pPr>
    <w:rPr>
      <w:sz w:val="24"/>
      <w:szCs w:val="20"/>
    </w:rPr>
  </w:style>
  <w:style w:type="paragraph" w:styleId="16">
    <w:name w:val="Body Text Indent"/>
    <w:basedOn w:val="1"/>
    <w:qFormat/>
    <w:uiPriority w:val="0"/>
    <w:pPr>
      <w:spacing w:line="360" w:lineRule="auto"/>
      <w:ind w:firstLine="435"/>
    </w:pPr>
  </w:style>
  <w:style w:type="paragraph" w:styleId="17">
    <w:name w:val="Block Text"/>
    <w:basedOn w:val="1"/>
    <w:qFormat/>
    <w:uiPriority w:val="0"/>
    <w:pPr>
      <w:spacing w:beforeLines="30" w:afterLines="30"/>
      <w:ind w:left="239" w:leftChars="114" w:right="-34" w:firstLine="420" w:firstLineChars="200"/>
    </w:pPr>
  </w:style>
  <w:style w:type="paragraph" w:styleId="18">
    <w:name w:val="Plain Text"/>
    <w:basedOn w:val="1"/>
    <w:link w:val="66"/>
    <w:qFormat/>
    <w:uiPriority w:val="99"/>
    <w:pPr>
      <w:adjustRightInd w:val="0"/>
      <w:spacing w:before="120" w:line="400" w:lineRule="exact"/>
      <w:textAlignment w:val="baseline"/>
    </w:pPr>
    <w:rPr>
      <w:rFonts w:ascii="宋体" w:hAnsi="Courier New"/>
      <w:spacing w:val="-2"/>
      <w:kern w:val="28"/>
      <w:szCs w:val="20"/>
    </w:rPr>
  </w:style>
  <w:style w:type="paragraph" w:styleId="19">
    <w:name w:val="Date"/>
    <w:basedOn w:val="1"/>
    <w:next w:val="1"/>
    <w:qFormat/>
    <w:uiPriority w:val="0"/>
    <w:pPr>
      <w:ind w:left="100" w:leftChars="2500"/>
    </w:pPr>
  </w:style>
  <w:style w:type="paragraph" w:styleId="20">
    <w:name w:val="Body Text Indent 2"/>
    <w:basedOn w:val="1"/>
    <w:qFormat/>
    <w:uiPriority w:val="0"/>
    <w:pPr>
      <w:spacing w:line="360" w:lineRule="auto"/>
      <w:ind w:firstLine="560" w:firstLineChars="200"/>
    </w:pPr>
    <w:rPr>
      <w:sz w:val="28"/>
    </w:rPr>
  </w:style>
  <w:style w:type="paragraph" w:styleId="21">
    <w:name w:val="Balloon Text"/>
    <w:basedOn w:val="1"/>
    <w:semiHidden/>
    <w:qFormat/>
    <w:uiPriority w:val="0"/>
    <w:rPr>
      <w:sz w:val="18"/>
      <w:szCs w:val="18"/>
    </w:rPr>
  </w:style>
  <w:style w:type="paragraph" w:styleId="22">
    <w:name w:val="footer"/>
    <w:basedOn w:val="1"/>
    <w:link w:val="119"/>
    <w:qFormat/>
    <w:uiPriority w:val="99"/>
    <w:pPr>
      <w:tabs>
        <w:tab w:val="center" w:pos="4153"/>
        <w:tab w:val="right" w:pos="8306"/>
      </w:tabs>
      <w:snapToGrid w:val="0"/>
      <w:ind w:left="6867" w:hanging="6867" w:hangingChars="3800"/>
      <w:jc w:val="left"/>
    </w:pPr>
    <w:rPr>
      <w:b/>
      <w:kern w:val="0"/>
      <w:sz w:val="18"/>
      <w:szCs w:val="21"/>
    </w:rPr>
  </w:style>
  <w:style w:type="paragraph" w:styleId="23">
    <w:name w:val="header"/>
    <w:basedOn w:val="1"/>
    <w:link w:val="44"/>
    <w:qFormat/>
    <w:uiPriority w:val="99"/>
    <w:pPr>
      <w:pBdr>
        <w:bottom w:val="single" w:color="auto" w:sz="6" w:space="1"/>
      </w:pBdr>
      <w:tabs>
        <w:tab w:val="center" w:pos="4153"/>
        <w:tab w:val="right" w:pos="8306"/>
      </w:tabs>
      <w:snapToGrid w:val="0"/>
      <w:jc w:val="center"/>
    </w:pPr>
    <w:rPr>
      <w:sz w:val="18"/>
      <w:szCs w:val="20"/>
    </w:rPr>
  </w:style>
  <w:style w:type="paragraph" w:styleId="24">
    <w:name w:val="toc 1"/>
    <w:basedOn w:val="1"/>
    <w:next w:val="1"/>
    <w:qFormat/>
    <w:uiPriority w:val="39"/>
    <w:pPr>
      <w:tabs>
        <w:tab w:val="right" w:leader="dot" w:pos="9628"/>
      </w:tabs>
      <w:spacing w:line="480" w:lineRule="auto"/>
    </w:pPr>
    <w:rPr>
      <w:rFonts w:ascii="宋体" w:hAnsi="宋体"/>
      <w:color w:val="000000"/>
      <w:sz w:val="24"/>
      <w:szCs w:val="28"/>
    </w:rPr>
  </w:style>
  <w:style w:type="paragraph" w:styleId="25">
    <w:name w:val="List"/>
    <w:basedOn w:val="1"/>
    <w:qFormat/>
    <w:uiPriority w:val="0"/>
    <w:pPr>
      <w:ind w:left="200" w:hanging="200" w:hangingChars="200"/>
    </w:pPr>
    <w:rPr>
      <w:sz w:val="24"/>
      <w:szCs w:val="20"/>
    </w:rPr>
  </w:style>
  <w:style w:type="paragraph" w:styleId="26">
    <w:name w:val="Body Text Indent 3"/>
    <w:basedOn w:val="1"/>
    <w:qFormat/>
    <w:uiPriority w:val="0"/>
    <w:pPr>
      <w:spacing w:line="360" w:lineRule="auto"/>
      <w:ind w:firstLine="480"/>
    </w:pPr>
    <w:rPr>
      <w:sz w:val="24"/>
    </w:rPr>
  </w:style>
  <w:style w:type="paragraph" w:styleId="27">
    <w:name w:val="toc 2"/>
    <w:basedOn w:val="1"/>
    <w:next w:val="1"/>
    <w:qFormat/>
    <w:uiPriority w:val="39"/>
    <w:pPr>
      <w:tabs>
        <w:tab w:val="right" w:leader="dot" w:pos="9628"/>
      </w:tabs>
      <w:spacing w:line="480" w:lineRule="auto"/>
      <w:ind w:left="420" w:leftChars="200"/>
    </w:pPr>
  </w:style>
  <w:style w:type="paragraph" w:styleId="28">
    <w:name w:val="Body Text 2"/>
    <w:basedOn w:val="1"/>
    <w:qFormat/>
    <w:uiPriority w:val="0"/>
    <w:pPr>
      <w:spacing w:after="120" w:line="480" w:lineRule="auto"/>
    </w:pPr>
  </w:style>
  <w:style w:type="paragraph" w:styleId="29">
    <w:name w:val="Normal (Web)"/>
    <w:basedOn w:val="1"/>
    <w:qFormat/>
    <w:uiPriority w:val="0"/>
    <w:pPr>
      <w:widowControl/>
      <w:jc w:val="left"/>
    </w:pPr>
    <w:rPr>
      <w:rFonts w:ascii="宋体" w:hAnsi="宋体"/>
      <w:kern w:val="0"/>
      <w:sz w:val="24"/>
    </w:rPr>
  </w:style>
  <w:style w:type="paragraph" w:styleId="30">
    <w:name w:val="annotation subject"/>
    <w:basedOn w:val="13"/>
    <w:next w:val="13"/>
    <w:semiHidden/>
    <w:qFormat/>
    <w:uiPriority w:val="0"/>
    <w:rPr>
      <w:b/>
      <w:bCs/>
    </w:rPr>
  </w:style>
  <w:style w:type="paragraph" w:styleId="31">
    <w:name w:val="Body Text First Indent"/>
    <w:basedOn w:val="15"/>
    <w:link w:val="93"/>
    <w:qFormat/>
    <w:uiPriority w:val="0"/>
    <w:pPr>
      <w:spacing w:after="120"/>
      <w:ind w:firstLine="420" w:firstLineChars="100"/>
      <w:jc w:val="both"/>
    </w:pPr>
    <w:rPr>
      <w:sz w:val="21"/>
      <w:szCs w:val="24"/>
    </w:rPr>
  </w:style>
  <w:style w:type="paragraph" w:styleId="32">
    <w:name w:val="Body Text First Indent 2"/>
    <w:basedOn w:val="16"/>
    <w:semiHidden/>
    <w:unhideWhenUsed/>
    <w:qFormat/>
    <w:uiPriority w:val="99"/>
    <w:pPr>
      <w:ind w:firstLine="420" w:firstLineChars="200"/>
    </w:pPr>
  </w:style>
  <w:style w:type="table" w:styleId="34">
    <w:name w:val="Table Grid"/>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Grid 2"/>
    <w:basedOn w:val="33"/>
    <w:qFormat/>
    <w:uiPriority w:val="0"/>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0"/>
    <w:rPr>
      <w:color w:val="800080"/>
      <w:u w:val="single"/>
    </w:rPr>
  </w:style>
  <w:style w:type="character" w:styleId="40">
    <w:name w:val="Emphasis"/>
    <w:qFormat/>
    <w:uiPriority w:val="0"/>
    <w:rPr>
      <w:color w:val="CC0000"/>
    </w:rPr>
  </w:style>
  <w:style w:type="character" w:styleId="41">
    <w:name w:val="Hyperlink"/>
    <w:qFormat/>
    <w:uiPriority w:val="99"/>
    <w:rPr>
      <w:color w:val="261CDC"/>
      <w:u w:val="single"/>
    </w:rPr>
  </w:style>
  <w:style w:type="character" w:styleId="42">
    <w:name w:val="annotation reference"/>
    <w:semiHidden/>
    <w:qFormat/>
    <w:uiPriority w:val="0"/>
    <w:rPr>
      <w:sz w:val="21"/>
      <w:szCs w:val="21"/>
    </w:rPr>
  </w:style>
  <w:style w:type="character" w:customStyle="1" w:styleId="43">
    <w:name w:val="style21"/>
    <w:basedOn w:val="36"/>
    <w:qFormat/>
    <w:uiPriority w:val="0"/>
  </w:style>
  <w:style w:type="character" w:customStyle="1" w:styleId="44">
    <w:name w:val="页眉 Char1"/>
    <w:link w:val="23"/>
    <w:qFormat/>
    <w:uiPriority w:val="99"/>
    <w:rPr>
      <w:kern w:val="2"/>
      <w:sz w:val="18"/>
      <w:lang w:val="en-US" w:eastAsia="zh-CN"/>
    </w:rPr>
  </w:style>
  <w:style w:type="character" w:customStyle="1" w:styleId="45">
    <w:name w:val="p14"/>
    <w:basedOn w:val="36"/>
    <w:qFormat/>
    <w:uiPriority w:val="0"/>
  </w:style>
  <w:style w:type="paragraph" w:customStyle="1" w:styleId="4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47">
    <w:name w:val="表格文字"/>
    <w:basedOn w:val="1"/>
    <w:link w:val="83"/>
    <w:qFormat/>
    <w:uiPriority w:val="0"/>
    <w:pPr>
      <w:jc w:val="center"/>
    </w:pPr>
    <w:rPr>
      <w:rFonts w:ascii="仿宋_GB2312" w:hAnsi="Arial Black" w:eastAsia="仿宋_GB2312"/>
      <w:kern w:val="44"/>
      <w:sz w:val="24"/>
      <w:szCs w:val="20"/>
    </w:rPr>
  </w:style>
  <w:style w:type="paragraph" w:customStyle="1" w:styleId="48">
    <w:name w:val="简单回函地址"/>
    <w:basedOn w:val="1"/>
    <w:qFormat/>
    <w:uiPriority w:val="0"/>
    <w:pPr>
      <w:adjustRightInd w:val="0"/>
      <w:textAlignment w:val="baseline"/>
    </w:pPr>
    <w:rPr>
      <w:szCs w:val="20"/>
    </w:rPr>
  </w:style>
  <w:style w:type="paragraph" w:customStyle="1" w:styleId="49">
    <w:name w:val="1 Char Char Char Char Char"/>
    <w:basedOn w:val="1"/>
    <w:qFormat/>
    <w:uiPriority w:val="0"/>
    <w:rPr>
      <w:sz w:val="24"/>
    </w:rPr>
  </w:style>
  <w:style w:type="paragraph" w:customStyle="1" w:styleId="50">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51">
    <w:name w:val="Char"/>
    <w:basedOn w:val="1"/>
    <w:qFormat/>
    <w:uiPriority w:val="0"/>
    <w:rPr>
      <w:szCs w:val="21"/>
    </w:rPr>
  </w:style>
  <w:style w:type="paragraph" w:customStyle="1" w:styleId="5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3">
    <w:name w:val="表头1"/>
    <w:basedOn w:val="1"/>
    <w:qFormat/>
    <w:uiPriority w:val="0"/>
    <w:pPr>
      <w:tabs>
        <w:tab w:val="left" w:pos="5280"/>
      </w:tabs>
      <w:adjustRightInd w:val="0"/>
      <w:spacing w:before="120" w:line="300" w:lineRule="auto"/>
      <w:ind w:firstLine="1000" w:firstLineChars="500"/>
      <w:textAlignment w:val="baseline"/>
    </w:pPr>
    <w:rPr>
      <w:rFonts w:ascii="黑体" w:eastAsia="黑体"/>
      <w:spacing w:val="-20"/>
      <w:kern w:val="16"/>
      <w:sz w:val="24"/>
      <w:szCs w:val="20"/>
    </w:rPr>
  </w:style>
  <w:style w:type="paragraph" w:customStyle="1" w:styleId="54">
    <w:name w:val="样式 标题 1 + 加粗"/>
    <w:basedOn w:val="3"/>
    <w:qFormat/>
    <w:uiPriority w:val="0"/>
    <w:pPr>
      <w:snapToGrid w:val="0"/>
      <w:spacing w:before="0" w:after="0" w:line="360" w:lineRule="auto"/>
    </w:pPr>
    <w:rPr>
      <w:sz w:val="24"/>
      <w:szCs w:val="24"/>
    </w:rPr>
  </w:style>
  <w:style w:type="paragraph" w:customStyle="1" w:styleId="55">
    <w:name w:val="文本框"/>
    <w:basedOn w:val="1"/>
    <w:qFormat/>
    <w:uiPriority w:val="0"/>
    <w:pPr>
      <w:spacing w:line="240" w:lineRule="atLeast"/>
    </w:pPr>
    <w:rPr>
      <w:rFonts w:ascii="宋体"/>
      <w:szCs w:val="20"/>
    </w:rPr>
  </w:style>
  <w:style w:type="paragraph" w:customStyle="1" w:styleId="56">
    <w:name w:val="表格式"/>
    <w:basedOn w:val="25"/>
    <w:qFormat/>
    <w:uiPriority w:val="0"/>
    <w:pPr>
      <w:spacing w:line="400" w:lineRule="exact"/>
      <w:ind w:left="0" w:firstLine="0" w:firstLineChars="0"/>
      <w:jc w:val="center"/>
    </w:pPr>
    <w:rPr>
      <w:rFonts w:ascii="宋体"/>
      <w:sz w:val="21"/>
    </w:rPr>
  </w:style>
  <w:style w:type="character" w:customStyle="1" w:styleId="57">
    <w:name w:val="contents"/>
    <w:basedOn w:val="36"/>
    <w:qFormat/>
    <w:uiPriority w:val="0"/>
  </w:style>
  <w:style w:type="paragraph" w:customStyle="1" w:styleId="58">
    <w:name w:val="Char Char Char Char Char Char Char"/>
    <w:basedOn w:val="1"/>
    <w:qFormat/>
    <w:uiPriority w:val="0"/>
    <w:rPr>
      <w:sz w:val="24"/>
    </w:rPr>
  </w:style>
  <w:style w:type="character" w:customStyle="1" w:styleId="59">
    <w:name w:val="f141"/>
    <w:qFormat/>
    <w:uiPriority w:val="0"/>
    <w:rPr>
      <w:sz w:val="21"/>
      <w:szCs w:val="21"/>
    </w:rPr>
  </w:style>
  <w:style w:type="paragraph" w:customStyle="1" w:styleId="60">
    <w:name w:val="5 Char"/>
    <w:basedOn w:val="1"/>
    <w:qFormat/>
    <w:uiPriority w:val="0"/>
    <w:rPr>
      <w:sz w:val="24"/>
    </w:rPr>
  </w:style>
  <w:style w:type="paragraph" w:customStyle="1" w:styleId="61">
    <w:name w:val="样式1"/>
    <w:basedOn w:val="1"/>
    <w:qFormat/>
    <w:uiPriority w:val="0"/>
    <w:pPr>
      <w:adjustRightInd w:val="0"/>
      <w:spacing w:line="360" w:lineRule="exact"/>
      <w:ind w:firstLine="480" w:firstLineChars="200"/>
      <w:jc w:val="left"/>
      <w:textAlignment w:val="baseline"/>
    </w:pPr>
    <w:rPr>
      <w:sz w:val="24"/>
      <w:szCs w:val="20"/>
    </w:rPr>
  </w:style>
  <w:style w:type="paragraph" w:customStyle="1" w:styleId="62">
    <w:name w:val="页末正文"/>
    <w:basedOn w:val="1"/>
    <w:qFormat/>
    <w:uiPriority w:val="0"/>
    <w:pPr>
      <w:spacing w:after="240" w:line="480" w:lineRule="exact"/>
      <w:ind w:firstLine="560" w:firstLineChars="200"/>
    </w:pPr>
    <w:rPr>
      <w:rFonts w:eastAsia="楷体_GB2312"/>
      <w:color w:val="000000"/>
      <w:sz w:val="28"/>
      <w:szCs w:val="20"/>
    </w:rPr>
  </w:style>
  <w:style w:type="paragraph" w:customStyle="1" w:styleId="63">
    <w:name w:val="表格内文字"/>
    <w:basedOn w:val="1"/>
    <w:link w:val="64"/>
    <w:qFormat/>
    <w:uiPriority w:val="0"/>
    <w:pPr>
      <w:tabs>
        <w:tab w:val="left" w:pos="0"/>
      </w:tabs>
      <w:adjustRightInd w:val="0"/>
      <w:snapToGrid w:val="0"/>
      <w:jc w:val="center"/>
    </w:pPr>
    <w:rPr>
      <w:rFonts w:eastAsia="仿宋_GB2312"/>
      <w:sz w:val="24"/>
    </w:rPr>
  </w:style>
  <w:style w:type="character" w:customStyle="1" w:styleId="64">
    <w:name w:val="表格内文字 Char"/>
    <w:link w:val="63"/>
    <w:qFormat/>
    <w:uiPriority w:val="0"/>
    <w:rPr>
      <w:rFonts w:eastAsia="仿宋_GB2312"/>
      <w:kern w:val="2"/>
      <w:sz w:val="24"/>
      <w:szCs w:val="24"/>
      <w:lang w:val="en-US" w:eastAsia="zh-CN" w:bidi="ar-SA"/>
    </w:rPr>
  </w:style>
  <w:style w:type="table" w:customStyle="1" w:styleId="65">
    <w:name w:val="表格样式1"/>
    <w:basedOn w:val="33"/>
    <w:qFormat/>
    <w:uiPriority w:val="0"/>
    <w:pPr>
      <w:jc w:val="center"/>
    </w:pPr>
    <w:rPr>
      <w:sz w:val="21"/>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66">
    <w:name w:val="纯文本 Char"/>
    <w:link w:val="18"/>
    <w:qFormat/>
    <w:uiPriority w:val="99"/>
    <w:rPr>
      <w:rFonts w:ascii="宋体" w:hAnsi="Courier New" w:eastAsia="宋体"/>
      <w:spacing w:val="-2"/>
      <w:kern w:val="28"/>
      <w:sz w:val="21"/>
      <w:lang w:val="en-US" w:eastAsia="zh-CN" w:bidi="ar-SA"/>
    </w:rPr>
  </w:style>
  <w:style w:type="paragraph" w:customStyle="1" w:styleId="67">
    <w:name w:val="正文格式"/>
    <w:basedOn w:val="1"/>
    <w:qFormat/>
    <w:uiPriority w:val="0"/>
    <w:pPr>
      <w:ind w:firstLine="560" w:firstLineChars="200"/>
    </w:pPr>
    <w:rPr>
      <w:rFonts w:eastAsia="楷体_GB2312"/>
      <w:sz w:val="28"/>
      <w:szCs w:val="20"/>
    </w:rPr>
  </w:style>
  <w:style w:type="paragraph" w:customStyle="1" w:styleId="68">
    <w:name w:val="环表头"/>
    <w:basedOn w:val="1"/>
    <w:next w:val="1"/>
    <w:link w:val="77"/>
    <w:qFormat/>
    <w:uiPriority w:val="0"/>
    <w:pPr>
      <w:suppressAutoHyphens/>
      <w:adjustRightInd w:val="0"/>
      <w:spacing w:before="60" w:after="60"/>
      <w:ind w:right="28"/>
      <w:jc w:val="center"/>
      <w:textAlignment w:val="baseline"/>
    </w:pPr>
    <w:rPr>
      <w:rFonts w:ascii="楷体_GB2312" w:hAnsi="宋体" w:eastAsia="楷体_GB2312"/>
      <w:b/>
      <w:color w:val="000000"/>
      <w:sz w:val="24"/>
    </w:rPr>
  </w:style>
  <w:style w:type="paragraph" w:customStyle="1" w:styleId="69">
    <w:name w:val="环标3"/>
    <w:basedOn w:val="1"/>
    <w:qFormat/>
    <w:uiPriority w:val="0"/>
    <w:pPr>
      <w:widowControl/>
      <w:tabs>
        <w:tab w:val="left" w:pos="5094"/>
      </w:tabs>
      <w:adjustRightInd w:val="0"/>
      <w:snapToGrid w:val="0"/>
      <w:spacing w:line="500" w:lineRule="exact"/>
      <w:ind w:left="120" w:leftChars="57" w:firstLine="474" w:firstLineChars="173"/>
      <w:textAlignment w:val="baseline"/>
    </w:pPr>
    <w:rPr>
      <w:rFonts w:ascii="宋体" w:hAnsi="宋体"/>
      <w:kern w:val="24"/>
      <w:sz w:val="24"/>
    </w:rPr>
  </w:style>
  <w:style w:type="paragraph" w:customStyle="1" w:styleId="70">
    <w:name w:val="列出段落1"/>
    <w:basedOn w:val="1"/>
    <w:qFormat/>
    <w:uiPriority w:val="0"/>
    <w:pPr>
      <w:ind w:firstLine="420" w:firstLineChars="200"/>
    </w:pPr>
    <w:rPr>
      <w:rFonts w:ascii="Calibri" w:hAnsi="Calibri"/>
      <w:szCs w:val="22"/>
    </w:rPr>
  </w:style>
  <w:style w:type="character" w:customStyle="1" w:styleId="71">
    <w:name w:val="f14"/>
    <w:basedOn w:val="36"/>
    <w:qFormat/>
    <w:uiPriority w:val="0"/>
  </w:style>
  <w:style w:type="paragraph" w:customStyle="1" w:styleId="72">
    <w:name w:val="Char Char Char1 Char Char Char Char Char Char Char Char Char Char Char Char Char"/>
    <w:basedOn w:val="1"/>
    <w:qFormat/>
    <w:uiPriority w:val="0"/>
    <w:rPr>
      <w:szCs w:val="21"/>
    </w:rPr>
  </w:style>
  <w:style w:type="paragraph" w:customStyle="1" w:styleId="73">
    <w:name w:val="环评正文"/>
    <w:basedOn w:val="1"/>
    <w:qFormat/>
    <w:uiPriority w:val="0"/>
    <w:pPr>
      <w:adjustRightInd w:val="0"/>
      <w:snapToGrid w:val="0"/>
      <w:spacing w:line="360" w:lineRule="auto"/>
      <w:ind w:firstLine="480" w:firstLineChars="200"/>
    </w:pPr>
    <w:rPr>
      <w:sz w:val="24"/>
      <w:szCs w:val="20"/>
    </w:rPr>
  </w:style>
  <w:style w:type="paragraph" w:customStyle="1" w:styleId="74">
    <w:name w:val="Char Char Char Char Char Char Char Char Char Char Char Char"/>
    <w:basedOn w:val="1"/>
    <w:qFormat/>
    <w:uiPriority w:val="0"/>
    <w:rPr>
      <w:szCs w:val="21"/>
    </w:rPr>
  </w:style>
  <w:style w:type="paragraph" w:customStyle="1" w:styleId="75">
    <w:name w:val="环正文"/>
    <w:basedOn w:val="1"/>
    <w:link w:val="76"/>
    <w:qFormat/>
    <w:uiPriority w:val="0"/>
    <w:pPr>
      <w:suppressAutoHyphens/>
      <w:adjustRightInd w:val="0"/>
      <w:spacing w:line="360" w:lineRule="auto"/>
      <w:ind w:firstLine="480" w:firstLineChars="200"/>
      <w:textAlignment w:val="baseline"/>
    </w:pPr>
    <w:rPr>
      <w:kern w:val="0"/>
      <w:sz w:val="24"/>
    </w:rPr>
  </w:style>
  <w:style w:type="character" w:customStyle="1" w:styleId="76">
    <w:name w:val="环正文 Char1"/>
    <w:link w:val="75"/>
    <w:qFormat/>
    <w:uiPriority w:val="0"/>
    <w:rPr>
      <w:rFonts w:eastAsia="宋体"/>
      <w:sz w:val="24"/>
      <w:szCs w:val="24"/>
      <w:lang w:val="en-US" w:eastAsia="zh-CN" w:bidi="ar-SA"/>
    </w:rPr>
  </w:style>
  <w:style w:type="character" w:customStyle="1" w:styleId="77">
    <w:name w:val="环表头 Char"/>
    <w:link w:val="68"/>
    <w:qFormat/>
    <w:uiPriority w:val="0"/>
    <w:rPr>
      <w:rFonts w:ascii="楷体_GB2312" w:hAnsi="宋体" w:eastAsia="楷体_GB2312"/>
      <w:b/>
      <w:color w:val="000000"/>
      <w:kern w:val="2"/>
      <w:sz w:val="24"/>
      <w:szCs w:val="24"/>
      <w:lang w:val="en-US" w:eastAsia="zh-CN" w:bidi="ar-SA"/>
    </w:rPr>
  </w:style>
  <w:style w:type="character" w:customStyle="1" w:styleId="78">
    <w:name w:val="m11"/>
    <w:qFormat/>
    <w:uiPriority w:val="0"/>
    <w:rPr>
      <w:sz w:val="18"/>
      <w:szCs w:val="18"/>
    </w:rPr>
  </w:style>
  <w:style w:type="character" w:customStyle="1" w:styleId="79">
    <w:name w:val="正文缩进 Char"/>
    <w:link w:val="11"/>
    <w:qFormat/>
    <w:uiPriority w:val="0"/>
    <w:rPr>
      <w:rFonts w:eastAsia="宋体"/>
      <w:kern w:val="2"/>
      <w:sz w:val="21"/>
      <w:szCs w:val="24"/>
      <w:lang w:val="en-US" w:eastAsia="zh-CN" w:bidi="ar-SA"/>
    </w:rPr>
  </w:style>
  <w:style w:type="paragraph" w:customStyle="1" w:styleId="80">
    <w:name w:val="Char1"/>
    <w:basedOn w:val="1"/>
    <w:qFormat/>
    <w:uiPriority w:val="0"/>
    <w:pPr>
      <w:snapToGrid w:val="0"/>
      <w:spacing w:line="360" w:lineRule="auto"/>
      <w:ind w:firstLine="200" w:firstLineChars="200"/>
    </w:pPr>
    <w:rPr>
      <w:rFonts w:eastAsia="仿宋_GB2312"/>
      <w:sz w:val="24"/>
    </w:rPr>
  </w:style>
  <w:style w:type="paragraph" w:customStyle="1" w:styleId="81">
    <w:name w:val="小四表文左齐"/>
    <w:basedOn w:val="1"/>
    <w:qFormat/>
    <w:uiPriority w:val="0"/>
    <w:pPr>
      <w:adjustRightInd w:val="0"/>
      <w:snapToGrid w:val="0"/>
      <w:jc w:val="center"/>
    </w:pPr>
    <w:rPr>
      <w:rFonts w:ascii="宋体" w:hAnsi="宋体"/>
      <w:szCs w:val="21"/>
    </w:rPr>
  </w:style>
  <w:style w:type="paragraph" w:customStyle="1" w:styleId="82">
    <w:name w:val="Char Char Char"/>
    <w:basedOn w:val="1"/>
    <w:qFormat/>
    <w:uiPriority w:val="0"/>
    <w:rPr>
      <w:sz w:val="24"/>
    </w:rPr>
  </w:style>
  <w:style w:type="character" w:customStyle="1" w:styleId="83">
    <w:name w:val="表格文字 Char"/>
    <w:link w:val="47"/>
    <w:qFormat/>
    <w:uiPriority w:val="0"/>
    <w:rPr>
      <w:rFonts w:ascii="仿宋_GB2312" w:hAnsi="Arial Black" w:eastAsia="仿宋_GB2312"/>
      <w:kern w:val="44"/>
      <w:sz w:val="24"/>
      <w:lang w:val="en-US" w:eastAsia="zh-CN" w:bidi="ar-SA"/>
    </w:rPr>
  </w:style>
  <w:style w:type="paragraph" w:customStyle="1" w:styleId="84">
    <w:name w:val="表格"/>
    <w:basedOn w:val="1"/>
    <w:link w:val="85"/>
    <w:qFormat/>
    <w:uiPriority w:val="0"/>
    <w:pPr>
      <w:jc w:val="center"/>
    </w:pPr>
    <w:rPr>
      <w:bCs/>
      <w:kern w:val="0"/>
      <w:szCs w:val="21"/>
    </w:rPr>
  </w:style>
  <w:style w:type="character" w:customStyle="1" w:styleId="85">
    <w:name w:val="表格 Char"/>
    <w:link w:val="84"/>
    <w:qFormat/>
    <w:uiPriority w:val="0"/>
    <w:rPr>
      <w:rFonts w:eastAsia="宋体"/>
      <w:bCs/>
      <w:sz w:val="21"/>
      <w:szCs w:val="21"/>
      <w:lang w:val="en-US" w:eastAsia="zh-CN" w:bidi="ar-SA"/>
    </w:rPr>
  </w:style>
  <w:style w:type="paragraph" w:customStyle="1" w:styleId="86">
    <w:name w:val="表格/图表标题"/>
    <w:basedOn w:val="1"/>
    <w:next w:val="1"/>
    <w:link w:val="87"/>
    <w:qFormat/>
    <w:uiPriority w:val="0"/>
    <w:pPr>
      <w:spacing w:beforeLines="50"/>
      <w:jc w:val="center"/>
    </w:pPr>
    <w:rPr>
      <w:b/>
      <w:bCs/>
      <w:kern w:val="0"/>
      <w:sz w:val="22"/>
    </w:rPr>
  </w:style>
  <w:style w:type="character" w:customStyle="1" w:styleId="87">
    <w:name w:val="表格/图表标题 Char"/>
    <w:link w:val="86"/>
    <w:qFormat/>
    <w:uiPriority w:val="0"/>
    <w:rPr>
      <w:rFonts w:eastAsia="宋体"/>
      <w:b/>
      <w:bCs/>
      <w:sz w:val="22"/>
      <w:szCs w:val="24"/>
      <w:lang w:val="en-US" w:eastAsia="zh-CN" w:bidi="ar-SA"/>
    </w:rPr>
  </w:style>
  <w:style w:type="character" w:customStyle="1" w:styleId="88">
    <w:name w:val="Char Char1"/>
    <w:semiHidden/>
    <w:qFormat/>
    <w:uiPriority w:val="0"/>
    <w:rPr>
      <w:rFonts w:ascii="宋体" w:hAnsi="Courier New"/>
      <w:kern w:val="2"/>
    </w:rPr>
  </w:style>
  <w:style w:type="paragraph" w:customStyle="1" w:styleId="89">
    <w:name w:val="标题3"/>
    <w:basedOn w:val="1"/>
    <w:qFormat/>
    <w:uiPriority w:val="0"/>
    <w:pPr>
      <w:framePr w:hSpace="181" w:vSpace="181" w:wrap="around" w:vAnchor="text" w:hAnchor="text" w:y="1"/>
      <w:adjustRightInd w:val="0"/>
      <w:snapToGrid w:val="0"/>
      <w:spacing w:afterLines="50"/>
      <w:jc w:val="left"/>
      <w:outlineLvl w:val="2"/>
    </w:pPr>
    <w:rPr>
      <w:rFonts w:ascii="宋体" w:hAnsi="宋体"/>
      <w:b/>
      <w:bCs/>
      <w:spacing w:val="-6"/>
      <w:sz w:val="24"/>
    </w:rPr>
  </w:style>
  <w:style w:type="paragraph" w:customStyle="1" w:styleId="90">
    <w:name w:val="Char2"/>
    <w:basedOn w:val="1"/>
    <w:qFormat/>
    <w:uiPriority w:val="0"/>
    <w:rPr>
      <w:sz w:val="24"/>
    </w:rPr>
  </w:style>
  <w:style w:type="character" w:customStyle="1" w:styleId="91">
    <w:name w:val="正文文本 3 Char"/>
    <w:link w:val="14"/>
    <w:semiHidden/>
    <w:qFormat/>
    <w:uiPriority w:val="0"/>
    <w:rPr>
      <w:rFonts w:eastAsia="宋体"/>
      <w:color w:val="FF0000"/>
      <w:kern w:val="2"/>
      <w:sz w:val="21"/>
      <w:szCs w:val="24"/>
      <w:lang w:val="en-US" w:eastAsia="zh-CN" w:bidi="ar-SA"/>
    </w:rPr>
  </w:style>
  <w:style w:type="paragraph" w:customStyle="1" w:styleId="92">
    <w:name w:val="图文框"/>
    <w:basedOn w:val="1"/>
    <w:qFormat/>
    <w:uiPriority w:val="0"/>
    <w:pPr>
      <w:jc w:val="center"/>
    </w:pPr>
    <w:rPr>
      <w:szCs w:val="20"/>
    </w:rPr>
  </w:style>
  <w:style w:type="character" w:customStyle="1" w:styleId="93">
    <w:name w:val="正文首行缩进 Char"/>
    <w:link w:val="31"/>
    <w:qFormat/>
    <w:uiPriority w:val="0"/>
    <w:rPr>
      <w:rFonts w:eastAsia="宋体"/>
      <w:kern w:val="2"/>
      <w:sz w:val="21"/>
      <w:szCs w:val="24"/>
      <w:lang w:val="en-US" w:eastAsia="zh-CN" w:bidi="ar-SA"/>
    </w:rPr>
  </w:style>
  <w:style w:type="paragraph" w:customStyle="1" w:styleId="94">
    <w:name w:val="6"/>
    <w:basedOn w:val="1"/>
    <w:next w:val="28"/>
    <w:qFormat/>
    <w:uiPriority w:val="0"/>
    <w:pPr>
      <w:spacing w:after="120" w:line="480" w:lineRule="auto"/>
    </w:pPr>
  </w:style>
  <w:style w:type="paragraph" w:customStyle="1" w:styleId="95">
    <w:name w:val="样式 题注"/>
    <w:basedOn w:val="15"/>
    <w:qFormat/>
    <w:uiPriority w:val="0"/>
    <w:pPr>
      <w:spacing w:beforeLines="50" w:afterLines="50"/>
    </w:pPr>
    <w:rPr>
      <w:b/>
      <w:sz w:val="21"/>
      <w:szCs w:val="21"/>
    </w:rPr>
  </w:style>
  <w:style w:type="paragraph" w:customStyle="1" w:styleId="96">
    <w:name w:val="2"/>
    <w:basedOn w:val="1"/>
    <w:next w:val="26"/>
    <w:qFormat/>
    <w:uiPriority w:val="0"/>
    <w:pPr>
      <w:tabs>
        <w:tab w:val="left" w:pos="604"/>
      </w:tabs>
      <w:spacing w:line="360" w:lineRule="auto"/>
      <w:ind w:firstLine="600"/>
    </w:pPr>
    <w:rPr>
      <w:sz w:val="24"/>
    </w:rPr>
  </w:style>
  <w:style w:type="paragraph" w:customStyle="1" w:styleId="97">
    <w:name w:val="Date1"/>
    <w:basedOn w:val="1"/>
    <w:next w:val="1"/>
    <w:qFormat/>
    <w:uiPriority w:val="0"/>
    <w:pPr>
      <w:adjustRightInd w:val="0"/>
      <w:textAlignment w:val="baseline"/>
    </w:pPr>
    <w:rPr>
      <w:szCs w:val="20"/>
    </w:rPr>
  </w:style>
  <w:style w:type="character" w:customStyle="1" w:styleId="98">
    <w:name w:val="Char Char3"/>
    <w:qFormat/>
    <w:uiPriority w:val="0"/>
    <w:rPr>
      <w:kern w:val="2"/>
      <w:sz w:val="18"/>
      <w:szCs w:val="18"/>
    </w:rPr>
  </w:style>
  <w:style w:type="paragraph" w:customStyle="1" w:styleId="99">
    <w:name w:val="新正文"/>
    <w:basedOn w:val="1"/>
    <w:qFormat/>
    <w:uiPriority w:val="0"/>
    <w:pPr>
      <w:spacing w:line="480" w:lineRule="exact"/>
      <w:ind w:firstLine="567"/>
    </w:pPr>
    <w:rPr>
      <w:rFonts w:ascii="仿宋_GB2312" w:eastAsia="仿宋_GB2312"/>
      <w:bCs/>
      <w:kern w:val="0"/>
      <w:sz w:val="28"/>
      <w:szCs w:val="21"/>
    </w:rPr>
  </w:style>
  <w:style w:type="paragraph" w:customStyle="1" w:styleId="100">
    <w:name w:val="表头"/>
    <w:next w:val="1"/>
    <w:link w:val="101"/>
    <w:qFormat/>
    <w:uiPriority w:val="0"/>
    <w:pPr>
      <w:spacing w:line="320" w:lineRule="exact"/>
      <w:jc w:val="center"/>
    </w:pPr>
    <w:rPr>
      <w:rFonts w:ascii="Times New Roman" w:hAnsi="Times New Roman" w:eastAsia="黑体" w:cs="Times New Roman"/>
      <w:spacing w:val="8"/>
      <w:sz w:val="21"/>
      <w:szCs w:val="28"/>
      <w:lang w:val="en-US" w:eastAsia="zh-CN" w:bidi="ar-SA"/>
    </w:rPr>
  </w:style>
  <w:style w:type="character" w:customStyle="1" w:styleId="101">
    <w:name w:val="表头 Char"/>
    <w:link w:val="100"/>
    <w:qFormat/>
    <w:uiPriority w:val="0"/>
    <w:rPr>
      <w:rFonts w:eastAsia="黑体"/>
      <w:spacing w:val="8"/>
      <w:sz w:val="21"/>
      <w:szCs w:val="28"/>
      <w:lang w:val="en-US" w:eastAsia="zh-CN" w:bidi="ar-SA"/>
    </w:rPr>
  </w:style>
  <w:style w:type="paragraph" w:customStyle="1" w:styleId="102">
    <w:name w:val="表蕊居中"/>
    <w:link w:val="103"/>
    <w:qFormat/>
    <w:uiPriority w:val="0"/>
    <w:pPr>
      <w:spacing w:line="320" w:lineRule="exact"/>
      <w:jc w:val="center"/>
    </w:pPr>
    <w:rPr>
      <w:rFonts w:ascii="Times New Roman" w:hAnsi="Times New Roman" w:eastAsia="宋体" w:cs="Times New Roman"/>
      <w:spacing w:val="8"/>
      <w:sz w:val="21"/>
      <w:szCs w:val="28"/>
      <w:lang w:val="en-US" w:eastAsia="zh-CN" w:bidi="ar-SA"/>
    </w:rPr>
  </w:style>
  <w:style w:type="character" w:customStyle="1" w:styleId="103">
    <w:name w:val="表蕊居中 Char"/>
    <w:link w:val="102"/>
    <w:qFormat/>
    <w:locked/>
    <w:uiPriority w:val="0"/>
    <w:rPr>
      <w:spacing w:val="8"/>
      <w:sz w:val="21"/>
      <w:szCs w:val="28"/>
      <w:lang w:val="en-US" w:eastAsia="zh-CN" w:bidi="ar-SA"/>
    </w:rPr>
  </w:style>
  <w:style w:type="character" w:customStyle="1" w:styleId="104">
    <w:name w:val="a12"/>
    <w:basedOn w:val="36"/>
    <w:qFormat/>
    <w:uiPriority w:val="0"/>
  </w:style>
  <w:style w:type="paragraph" w:customStyle="1" w:styleId="105">
    <w:name w:val="默认段落字体 Para Char"/>
    <w:basedOn w:val="1"/>
    <w:qFormat/>
    <w:uiPriority w:val="0"/>
    <w:pPr>
      <w:widowControl/>
      <w:jc w:val="left"/>
    </w:pPr>
    <w:rPr>
      <w:rFonts w:ascii="宋体" w:hAnsi="宋体" w:cs="宋体"/>
      <w:kern w:val="0"/>
      <w:sz w:val="24"/>
    </w:rPr>
  </w:style>
  <w:style w:type="paragraph" w:customStyle="1" w:styleId="106">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07">
    <w:name w:val="正文1"/>
    <w:basedOn w:val="1"/>
    <w:qFormat/>
    <w:uiPriority w:val="0"/>
    <w:pPr>
      <w:autoSpaceDE w:val="0"/>
      <w:autoSpaceDN w:val="0"/>
      <w:spacing w:after="160" w:line="440" w:lineRule="exact"/>
      <w:ind w:left="556"/>
      <w:textAlignment w:val="bottom"/>
    </w:pPr>
    <w:rPr>
      <w:color w:val="000000"/>
      <w:sz w:val="28"/>
      <w:szCs w:val="20"/>
    </w:rPr>
  </w:style>
  <w:style w:type="paragraph" w:customStyle="1" w:styleId="108">
    <w:name w:val="Char Char Char Char Char Char"/>
    <w:basedOn w:val="1"/>
    <w:qFormat/>
    <w:uiPriority w:val="0"/>
    <w:rPr>
      <w:sz w:val="24"/>
    </w:rPr>
  </w:style>
  <w:style w:type="paragraph" w:customStyle="1" w:styleId="109">
    <w:name w:val="TOC 标题1"/>
    <w:basedOn w:val="3"/>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110">
    <w:name w:val="页眉 Char"/>
    <w:basedOn w:val="36"/>
    <w:qFormat/>
    <w:uiPriority w:val="0"/>
    <w:rPr>
      <w:kern w:val="2"/>
      <w:sz w:val="18"/>
      <w:lang w:val="en-US" w:eastAsia="zh-CN"/>
    </w:rPr>
  </w:style>
  <w:style w:type="paragraph" w:customStyle="1" w:styleId="111">
    <w:name w:val="Char Char Char Char1 Char Char Char Char"/>
    <w:basedOn w:val="1"/>
    <w:qFormat/>
    <w:uiPriority w:val="0"/>
    <w:rPr>
      <w:sz w:val="24"/>
    </w:rPr>
  </w:style>
  <w:style w:type="character" w:customStyle="1" w:styleId="112">
    <w:name w:val="apple-style-span"/>
    <w:basedOn w:val="36"/>
    <w:qFormat/>
    <w:uiPriority w:val="0"/>
  </w:style>
  <w:style w:type="character" w:customStyle="1" w:styleId="113">
    <w:name w:val="表蕊 Char1"/>
    <w:basedOn w:val="36"/>
    <w:link w:val="114"/>
    <w:qFormat/>
    <w:uiPriority w:val="0"/>
    <w:rPr>
      <w:rFonts w:eastAsia="楷体_GB2312"/>
      <w:spacing w:val="-10"/>
      <w:sz w:val="21"/>
    </w:rPr>
  </w:style>
  <w:style w:type="paragraph" w:customStyle="1" w:styleId="114">
    <w:name w:val="表蕊"/>
    <w:basedOn w:val="1"/>
    <w:link w:val="113"/>
    <w:qFormat/>
    <w:uiPriority w:val="0"/>
    <w:pPr>
      <w:adjustRightInd w:val="0"/>
      <w:spacing w:line="320" w:lineRule="atLeast"/>
      <w:jc w:val="left"/>
      <w:textAlignment w:val="baseline"/>
    </w:pPr>
    <w:rPr>
      <w:rFonts w:eastAsia="楷体_GB2312"/>
      <w:spacing w:val="-10"/>
      <w:kern w:val="0"/>
      <w:szCs w:val="20"/>
    </w:rPr>
  </w:style>
  <w:style w:type="paragraph" w:customStyle="1" w:styleId="115">
    <w:name w:val="Table Paragraph"/>
    <w:basedOn w:val="1"/>
    <w:qFormat/>
    <w:uiPriority w:val="1"/>
    <w:pPr>
      <w:jc w:val="left"/>
    </w:pPr>
    <w:rPr>
      <w:rFonts w:ascii="Calibri" w:hAnsi="Calibri"/>
      <w:kern w:val="0"/>
      <w:sz w:val="22"/>
      <w:szCs w:val="22"/>
      <w:lang w:eastAsia="en-US"/>
    </w:rPr>
  </w:style>
  <w:style w:type="paragraph" w:styleId="116">
    <w:name w:val="List Paragraph"/>
    <w:basedOn w:val="1"/>
    <w:qFormat/>
    <w:uiPriority w:val="34"/>
    <w:pPr>
      <w:ind w:firstLine="420" w:firstLineChars="200"/>
    </w:pPr>
  </w:style>
  <w:style w:type="character" w:customStyle="1" w:styleId="117">
    <w:name w:val="样式 宋体 小四 居中 行距: 最小值 0 磅"/>
    <w:qFormat/>
    <w:uiPriority w:val="0"/>
    <w:rPr>
      <w:rFonts w:ascii="宋体" w:hAnsi="宋体" w:eastAsia="Times New Roman"/>
      <w:sz w:val="24"/>
    </w:rPr>
  </w:style>
  <w:style w:type="paragraph" w:customStyle="1" w:styleId="118">
    <w:name w:val="三同时表"/>
    <w:basedOn w:val="1"/>
    <w:qFormat/>
    <w:uiPriority w:val="0"/>
    <w:pPr>
      <w:jc w:val="center"/>
    </w:pPr>
    <w:rPr>
      <w:rFonts w:ascii="Calibri" w:hAnsi="Calibri"/>
      <w:sz w:val="18"/>
      <w:szCs w:val="18"/>
    </w:rPr>
  </w:style>
  <w:style w:type="character" w:customStyle="1" w:styleId="119">
    <w:name w:val="页脚 Char"/>
    <w:link w:val="22"/>
    <w:qFormat/>
    <w:uiPriority w:val="99"/>
    <w:rPr>
      <w:b/>
      <w:sz w:val="18"/>
      <w:szCs w:val="21"/>
    </w:rPr>
  </w:style>
  <w:style w:type="table" w:customStyle="1" w:styleId="120">
    <w:name w:val="Table Normal"/>
    <w:semiHidden/>
    <w:unhideWhenUsed/>
    <w:qFormat/>
    <w:uiPriority w:val="0"/>
    <w:tblPr>
      <w:tblCellMar>
        <w:top w:w="0" w:type="dxa"/>
        <w:left w:w="0" w:type="dxa"/>
        <w:bottom w:w="0" w:type="dxa"/>
        <w:right w:w="0" w:type="dxa"/>
      </w:tblCellMar>
    </w:tblPr>
  </w:style>
  <w:style w:type="paragraph" w:customStyle="1" w:styleId="121">
    <w:name w:val="table content"/>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122">
    <w:name w:val="表格内容"/>
    <w:next w:val="1"/>
    <w:qFormat/>
    <w:uiPriority w:val="0"/>
    <w:pPr>
      <w:adjustRightInd w:val="0"/>
      <w:snapToGrid w:val="0"/>
      <w:jc w:val="center"/>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3.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2"/>
    <customShpInfo spid="_x0000_s2053"/>
    <customShpInfo spid="_x0000_s2050"/>
    <customShpInfo spid="_x0000_s2051"/>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3D863-C899-4BC5-B3A3-3C233FB9A7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12867</Words>
  <Characters>15472</Characters>
  <Lines>50</Lines>
  <Paragraphs>38</Paragraphs>
  <TotalTime>9</TotalTime>
  <ScaleCrop>false</ScaleCrop>
  <LinksUpToDate>false</LinksUpToDate>
  <CharactersWithSpaces>15810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2018-12-17T08:37:00Z</dcterms:created>
  <dc:creator>姚坚</dc:creator>
  <cp:lastModifiedBy>空城</cp:lastModifiedBy>
  <cp:lastPrinted>2022-01-10T02:55:00Z</cp:lastPrinted>
  <dcterms:modified xsi:type="dcterms:W3CDTF">2022-07-13T06:13:13Z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BA0B862405454F66B2AB9C87B041A7BA</vt:lpwstr>
  </property>
</Properties>
</file>