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p>
    <w:p>
      <w:pPr>
        <w:spacing w:line="360" w:lineRule="auto"/>
      </w:pPr>
    </w:p>
    <w:p>
      <w:pPr>
        <w:spacing w:line="360" w:lineRule="auto"/>
      </w:pPr>
    </w:p>
    <w:p>
      <w:pPr>
        <w:spacing w:line="360" w:lineRule="auto"/>
      </w:pPr>
    </w:p>
    <w:p>
      <w:pPr>
        <w:spacing w:line="360" w:lineRule="auto"/>
      </w:pPr>
    </w:p>
    <w:p>
      <w:pPr>
        <w:snapToGrid w:val="0"/>
        <w:spacing w:line="360" w:lineRule="auto"/>
        <w:jc w:val="center"/>
        <w:rPr>
          <w:b/>
          <w:bCs/>
          <w:spacing w:val="20"/>
          <w:sz w:val="44"/>
          <w:szCs w:val="44"/>
        </w:rPr>
      </w:pPr>
      <w:r>
        <w:rPr>
          <w:rFonts w:hint="eastAsia"/>
          <w:b/>
          <w:bCs/>
          <w:spacing w:val="20"/>
          <w:sz w:val="44"/>
          <w:szCs w:val="44"/>
        </w:rPr>
        <w:t>华润新能源（睢宁）有限公司一期风电项目配套110kV升压站工程</w:t>
      </w:r>
      <w:r>
        <w:rPr>
          <w:b/>
          <w:bCs/>
          <w:spacing w:val="20"/>
          <w:sz w:val="44"/>
          <w:szCs w:val="44"/>
        </w:rPr>
        <w:t>竣工</w:t>
      </w:r>
    </w:p>
    <w:p>
      <w:pPr>
        <w:snapToGrid w:val="0"/>
        <w:spacing w:line="360" w:lineRule="auto"/>
        <w:jc w:val="center"/>
        <w:rPr>
          <w:b/>
          <w:bCs/>
          <w:spacing w:val="20"/>
          <w:sz w:val="44"/>
          <w:szCs w:val="44"/>
        </w:rPr>
      </w:pPr>
      <w:r>
        <w:rPr>
          <w:b/>
          <w:bCs/>
          <w:spacing w:val="20"/>
          <w:sz w:val="44"/>
          <w:szCs w:val="44"/>
        </w:rPr>
        <w:t>环境保护验收</w:t>
      </w:r>
      <w:r>
        <w:rPr>
          <w:rFonts w:hint="eastAsia"/>
          <w:b/>
          <w:bCs/>
          <w:spacing w:val="20"/>
          <w:sz w:val="44"/>
          <w:szCs w:val="44"/>
        </w:rPr>
        <w:t xml:space="preserve">调查表 </w:t>
      </w:r>
    </w:p>
    <w:p>
      <w:pPr>
        <w:spacing w:line="480" w:lineRule="auto"/>
        <w:jc w:val="center"/>
        <w:rPr>
          <w:rFonts w:eastAsia="楷体"/>
          <w:sz w:val="24"/>
        </w:rPr>
      </w:pPr>
    </w:p>
    <w:p>
      <w:pPr>
        <w:spacing w:line="480" w:lineRule="auto"/>
        <w:jc w:val="center"/>
        <w:rPr>
          <w:rFonts w:eastAsia="楷体"/>
          <w:sz w:val="24"/>
        </w:rPr>
      </w:pPr>
    </w:p>
    <w:p>
      <w:pPr>
        <w:spacing w:line="480" w:lineRule="auto"/>
        <w:jc w:val="center"/>
        <w:rPr>
          <w:rFonts w:eastAsia="楷体"/>
          <w:sz w:val="24"/>
        </w:rPr>
      </w:pPr>
    </w:p>
    <w:p>
      <w:pPr>
        <w:spacing w:line="480" w:lineRule="auto"/>
        <w:jc w:val="center"/>
        <w:rPr>
          <w:rFonts w:eastAsia="楷体"/>
          <w:sz w:val="24"/>
        </w:rPr>
      </w:pPr>
    </w:p>
    <w:p>
      <w:pPr>
        <w:spacing w:line="480" w:lineRule="auto"/>
        <w:jc w:val="center"/>
        <w:rPr>
          <w:spacing w:val="20"/>
          <w:szCs w:val="21"/>
        </w:rPr>
      </w:pPr>
    </w:p>
    <w:p>
      <w:pPr>
        <w:spacing w:line="480" w:lineRule="auto"/>
        <w:jc w:val="center"/>
        <w:rPr>
          <w:spacing w:val="20"/>
          <w:szCs w:val="21"/>
        </w:rPr>
      </w:pPr>
    </w:p>
    <w:p>
      <w:pPr>
        <w:spacing w:line="480" w:lineRule="auto"/>
        <w:jc w:val="center"/>
        <w:rPr>
          <w:spacing w:val="20"/>
          <w:szCs w:val="21"/>
        </w:rPr>
      </w:pPr>
    </w:p>
    <w:p>
      <w:pPr>
        <w:spacing w:line="480" w:lineRule="auto"/>
        <w:jc w:val="center"/>
        <w:rPr>
          <w:spacing w:val="20"/>
          <w:szCs w:val="21"/>
        </w:rPr>
      </w:pPr>
    </w:p>
    <w:p>
      <w:pPr>
        <w:spacing w:line="360" w:lineRule="auto"/>
        <w:ind w:firstLine="1285" w:firstLineChars="400"/>
        <w:rPr>
          <w:sz w:val="32"/>
          <w:szCs w:val="32"/>
          <w:u w:val="single"/>
        </w:rPr>
      </w:pPr>
      <w:r>
        <w:rPr>
          <w:b/>
          <w:sz w:val="32"/>
          <w:szCs w:val="32"/>
        </w:rPr>
        <w:t>建设单位：</w:t>
      </w:r>
      <w:r>
        <w:rPr>
          <w:rFonts w:hint="eastAsia"/>
          <w:sz w:val="32"/>
          <w:szCs w:val="32"/>
          <w:u w:val="single"/>
        </w:rPr>
        <w:t>华润新能源（睢宁）有限公司</w:t>
      </w:r>
    </w:p>
    <w:p>
      <w:pPr>
        <w:spacing w:line="360" w:lineRule="auto"/>
        <w:ind w:firstLine="1120" w:firstLineChars="350"/>
        <w:rPr>
          <w:sz w:val="32"/>
          <w:szCs w:val="32"/>
        </w:rPr>
      </w:pPr>
    </w:p>
    <w:p>
      <w:pPr>
        <w:spacing w:line="360" w:lineRule="auto"/>
        <w:ind w:firstLine="1269" w:firstLineChars="395"/>
        <w:rPr>
          <w:sz w:val="32"/>
          <w:szCs w:val="32"/>
          <w:u w:val="single"/>
        </w:rPr>
      </w:pPr>
      <w:r>
        <w:rPr>
          <w:rFonts w:hint="eastAsia"/>
          <w:b/>
          <w:sz w:val="32"/>
          <w:szCs w:val="32"/>
        </w:rPr>
        <w:t>编制单位</w:t>
      </w:r>
      <w:r>
        <w:rPr>
          <w:b/>
          <w:sz w:val="32"/>
          <w:szCs w:val="32"/>
        </w:rPr>
        <w:t>：</w:t>
      </w:r>
      <w:r>
        <w:rPr>
          <w:rFonts w:hint="eastAsia"/>
          <w:sz w:val="32"/>
          <w:szCs w:val="32"/>
          <w:u w:val="single"/>
        </w:rPr>
        <w:t>华润新能源（睢宁）有限公司</w:t>
      </w:r>
    </w:p>
    <w:p>
      <w:pPr>
        <w:spacing w:line="480" w:lineRule="auto"/>
        <w:rPr>
          <w:spacing w:val="20"/>
          <w:szCs w:val="21"/>
        </w:rPr>
      </w:pPr>
    </w:p>
    <w:p>
      <w:pPr>
        <w:spacing w:line="480" w:lineRule="auto"/>
        <w:rPr>
          <w:spacing w:val="20"/>
          <w:szCs w:val="21"/>
        </w:rPr>
      </w:pPr>
    </w:p>
    <w:p>
      <w:pPr>
        <w:spacing w:line="480" w:lineRule="auto"/>
        <w:rPr>
          <w:spacing w:val="20"/>
          <w:szCs w:val="21"/>
        </w:rPr>
      </w:pPr>
    </w:p>
    <w:p>
      <w:pPr>
        <w:spacing w:line="480" w:lineRule="auto"/>
        <w:rPr>
          <w:spacing w:val="20"/>
          <w:szCs w:val="21"/>
        </w:rPr>
      </w:pPr>
    </w:p>
    <w:p>
      <w:pPr>
        <w:spacing w:line="480" w:lineRule="auto"/>
        <w:rPr>
          <w:spacing w:val="20"/>
          <w:szCs w:val="21"/>
        </w:rPr>
      </w:pPr>
    </w:p>
    <w:p>
      <w:pPr>
        <w:spacing w:line="480" w:lineRule="auto"/>
        <w:rPr>
          <w:spacing w:val="20"/>
          <w:szCs w:val="21"/>
        </w:rPr>
      </w:pPr>
    </w:p>
    <w:p>
      <w:pPr>
        <w:spacing w:line="480" w:lineRule="auto"/>
        <w:jc w:val="center"/>
        <w:rPr>
          <w:rStyle w:val="38"/>
          <w:b/>
          <w:sz w:val="32"/>
          <w:szCs w:val="32"/>
        </w:rPr>
      </w:pPr>
      <w:r>
        <w:rPr>
          <w:rStyle w:val="38"/>
          <w:rFonts w:hint="eastAsia"/>
          <w:b/>
          <w:sz w:val="32"/>
          <w:szCs w:val="32"/>
        </w:rPr>
        <w:t>2022</w:t>
      </w:r>
      <w:r>
        <w:rPr>
          <w:rStyle w:val="38"/>
          <w:b/>
          <w:sz w:val="32"/>
          <w:szCs w:val="32"/>
        </w:rPr>
        <w:t>年</w:t>
      </w:r>
      <w:r>
        <w:rPr>
          <w:rStyle w:val="38"/>
          <w:rFonts w:hint="eastAsia"/>
          <w:b/>
          <w:sz w:val="32"/>
          <w:szCs w:val="32"/>
        </w:rPr>
        <w:t>1</w:t>
      </w:r>
      <w:r>
        <w:rPr>
          <w:rStyle w:val="38"/>
          <w:b/>
          <w:sz w:val="32"/>
          <w:szCs w:val="32"/>
        </w:rPr>
        <w:t>月</w:t>
      </w:r>
    </w:p>
    <w:p>
      <w:pPr>
        <w:pStyle w:val="50"/>
        <w:jc w:val="center"/>
        <w:rPr>
          <w:rStyle w:val="38"/>
          <w:rFonts w:ascii="Times New Roman"/>
          <w:color w:val="auto"/>
          <w:sz w:val="28"/>
          <w:szCs w:val="28"/>
        </w:rPr>
      </w:pPr>
      <w:r>
        <w:rPr>
          <w:rStyle w:val="38"/>
          <w:rFonts w:ascii="Times New Roman"/>
          <w:color w:val="auto"/>
          <w:sz w:val="28"/>
          <w:szCs w:val="28"/>
        </w:rPr>
        <w:br w:type="page"/>
      </w:r>
    </w:p>
    <w:p>
      <w:pPr>
        <w:spacing w:line="480" w:lineRule="auto"/>
        <w:rPr>
          <w:rStyle w:val="38"/>
          <w:sz w:val="28"/>
          <w:szCs w:val="28"/>
        </w:rPr>
      </w:pPr>
    </w:p>
    <w:p>
      <w:pPr>
        <w:spacing w:line="480" w:lineRule="auto"/>
        <w:rPr>
          <w:rStyle w:val="38"/>
          <w:sz w:val="28"/>
          <w:szCs w:val="28"/>
        </w:rPr>
      </w:pPr>
      <w:r>
        <w:rPr>
          <w:rStyle w:val="38"/>
          <w:rFonts w:hint="eastAsia"/>
          <w:b/>
          <w:bCs/>
          <w:sz w:val="28"/>
          <w:szCs w:val="28"/>
        </w:rPr>
        <w:t>建设单位：</w:t>
      </w:r>
      <w:r>
        <w:rPr>
          <w:rStyle w:val="38"/>
          <w:rFonts w:hint="eastAsia"/>
          <w:sz w:val="28"/>
          <w:szCs w:val="28"/>
        </w:rPr>
        <w:t>华润新能源（睢宁）有限公司</w:t>
      </w:r>
    </w:p>
    <w:p>
      <w:pPr>
        <w:spacing w:line="480" w:lineRule="auto"/>
        <w:rPr>
          <w:rStyle w:val="38"/>
          <w:sz w:val="28"/>
          <w:szCs w:val="28"/>
        </w:rPr>
      </w:pPr>
      <w:r>
        <w:rPr>
          <w:rStyle w:val="38"/>
          <w:rFonts w:hint="eastAsia"/>
          <w:b/>
          <w:bCs/>
          <w:sz w:val="28"/>
          <w:szCs w:val="28"/>
        </w:rPr>
        <w:t>法定代表人：</w:t>
      </w:r>
      <w:r>
        <w:rPr>
          <w:rStyle w:val="38"/>
          <w:rFonts w:hint="eastAsia"/>
          <w:sz w:val="28"/>
          <w:szCs w:val="28"/>
        </w:rPr>
        <w:t>王毅</w:t>
      </w:r>
    </w:p>
    <w:p>
      <w:pPr>
        <w:spacing w:line="480" w:lineRule="auto"/>
        <w:rPr>
          <w:rStyle w:val="38"/>
          <w:sz w:val="28"/>
          <w:szCs w:val="28"/>
        </w:rPr>
      </w:pPr>
      <w:r>
        <w:rPr>
          <w:rStyle w:val="38"/>
          <w:rFonts w:hint="eastAsia"/>
          <w:b/>
          <w:bCs/>
          <w:sz w:val="28"/>
          <w:szCs w:val="28"/>
        </w:rPr>
        <w:t>编制单位：</w:t>
      </w:r>
      <w:r>
        <w:rPr>
          <w:rStyle w:val="38"/>
          <w:rFonts w:hint="eastAsia"/>
          <w:sz w:val="28"/>
          <w:szCs w:val="28"/>
        </w:rPr>
        <w:t>华润新能源（睢宁）有限公司</w:t>
      </w:r>
    </w:p>
    <w:p>
      <w:pPr>
        <w:spacing w:line="480" w:lineRule="auto"/>
        <w:rPr>
          <w:rStyle w:val="38"/>
          <w:sz w:val="28"/>
          <w:szCs w:val="28"/>
        </w:rPr>
      </w:pPr>
      <w:r>
        <w:rPr>
          <w:rStyle w:val="38"/>
          <w:rFonts w:hint="eastAsia"/>
          <w:b/>
          <w:bCs/>
          <w:sz w:val="28"/>
          <w:szCs w:val="28"/>
        </w:rPr>
        <w:t>法定代表人：</w:t>
      </w:r>
      <w:r>
        <w:rPr>
          <w:rStyle w:val="38"/>
          <w:rFonts w:hint="eastAsia"/>
          <w:sz w:val="28"/>
          <w:szCs w:val="28"/>
        </w:rPr>
        <w:t>王毅</w:t>
      </w:r>
    </w:p>
    <w:p>
      <w:pPr>
        <w:spacing w:line="480" w:lineRule="auto"/>
        <w:rPr>
          <w:rStyle w:val="38"/>
          <w:sz w:val="28"/>
          <w:szCs w:val="28"/>
        </w:rPr>
      </w:pPr>
    </w:p>
    <w:p>
      <w:pPr>
        <w:spacing w:line="480" w:lineRule="auto"/>
        <w:rPr>
          <w:rStyle w:val="38"/>
          <w:sz w:val="28"/>
          <w:szCs w:val="28"/>
        </w:rPr>
      </w:pPr>
    </w:p>
    <w:p>
      <w:pPr>
        <w:spacing w:line="480" w:lineRule="auto"/>
        <w:rPr>
          <w:rStyle w:val="38"/>
          <w:sz w:val="28"/>
          <w:szCs w:val="28"/>
        </w:rPr>
      </w:pPr>
      <w:r>
        <w:rPr>
          <w:b/>
          <w:bCs/>
          <w:sz w:val="28"/>
          <w:szCs w:val="28"/>
        </w:rPr>
        <w:t>项  目 负 责  人：</w:t>
      </w:r>
      <w:r>
        <w:rPr>
          <w:rStyle w:val="38"/>
          <w:rFonts w:hint="eastAsia"/>
          <w:sz w:val="28"/>
          <w:szCs w:val="28"/>
        </w:rPr>
        <w:t xml:space="preserve">巩晨宇 </w:t>
      </w:r>
    </w:p>
    <w:p>
      <w:pPr>
        <w:spacing w:afterLines="100" w:line="360" w:lineRule="auto"/>
        <w:rPr>
          <w:sz w:val="28"/>
          <w:szCs w:val="28"/>
        </w:rPr>
      </w:pPr>
    </w:p>
    <w:p>
      <w:pPr>
        <w:spacing w:line="0" w:lineRule="atLeast"/>
        <w:rPr>
          <w:color w:val="FF0000"/>
          <w:sz w:val="28"/>
          <w:szCs w:val="28"/>
        </w:rPr>
      </w:pPr>
    </w:p>
    <w:p>
      <w:pPr>
        <w:spacing w:line="0" w:lineRule="atLeast"/>
        <w:rPr>
          <w:color w:val="FF0000"/>
          <w:sz w:val="28"/>
          <w:szCs w:val="28"/>
        </w:rPr>
      </w:pPr>
    </w:p>
    <w:p>
      <w:pPr>
        <w:spacing w:line="0" w:lineRule="atLeast"/>
        <w:rPr>
          <w:color w:val="FF0000"/>
          <w:sz w:val="28"/>
          <w:szCs w:val="28"/>
        </w:rPr>
      </w:pPr>
    </w:p>
    <w:p>
      <w:pPr>
        <w:spacing w:line="0" w:lineRule="atLeast"/>
        <w:rPr>
          <w:color w:val="FF0000"/>
          <w:sz w:val="28"/>
          <w:szCs w:val="28"/>
        </w:rPr>
      </w:pPr>
    </w:p>
    <w:p>
      <w:pPr>
        <w:spacing w:line="0" w:lineRule="atLeast"/>
        <w:rPr>
          <w:color w:val="FF0000"/>
          <w:sz w:val="28"/>
          <w:szCs w:val="28"/>
        </w:rPr>
      </w:pPr>
    </w:p>
    <w:p>
      <w:pPr>
        <w:spacing w:line="0" w:lineRule="atLeast"/>
        <w:rPr>
          <w:color w:val="FF0000"/>
          <w:sz w:val="28"/>
          <w:szCs w:val="28"/>
        </w:rPr>
      </w:pPr>
      <w:r>
        <w:rPr>
          <w:color w:val="FF0000"/>
          <w:sz w:val="28"/>
          <w:szCs w:val="28"/>
        </w:rPr>
        <w:pict>
          <v:shape id="Text Box 391" o:spid="_x0000_s1026" o:spt="202" type="#_x0000_t202" style="position:absolute;left:0pt;margin-left:244.8pt;margin-top:16pt;height:204pt;width:248.25pt;z-index:25166131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9mugIAAL0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">
            <v:path/>
            <v:fill on="f" focussize="0,0"/>
            <v:stroke on="f" joinstyle="miter"/>
            <v:imagedata o:title=""/>
            <o:lock v:ext="edit"/>
            <v:textbox>
              <w:txbxContent>
                <w:p>
                  <w:pPr>
                    <w:spacing w:line="360" w:lineRule="auto"/>
                    <w:rPr>
                      <w:sz w:val="28"/>
                      <w:szCs w:val="28"/>
                    </w:rPr>
                  </w:pPr>
                  <w:r>
                    <w:rPr>
                      <w:rFonts w:hint="eastAsia"/>
                      <w:sz w:val="28"/>
                      <w:szCs w:val="28"/>
                    </w:rPr>
                    <w:t>编制单位：华润新能源（睢宁）有限公司</w:t>
                  </w:r>
                </w:p>
                <w:p>
                  <w:pPr>
                    <w:spacing w:line="360" w:lineRule="auto"/>
                    <w:rPr>
                      <w:color w:val="000000"/>
                      <w:sz w:val="28"/>
                      <w:szCs w:val="28"/>
                    </w:rPr>
                  </w:pPr>
                  <w:r>
                    <w:rPr>
                      <w:rFonts w:hint="eastAsia"/>
                      <w:sz w:val="28"/>
                      <w:szCs w:val="28"/>
                    </w:rPr>
                    <w:t>电话：</w:t>
                  </w:r>
                  <w:r>
                    <w:rPr>
                      <w:rFonts w:hint="eastAsia"/>
                      <w:color w:val="000000"/>
                      <w:sz w:val="28"/>
                      <w:szCs w:val="28"/>
                    </w:rPr>
                    <w:t>13952217056</w:t>
                  </w:r>
                </w:p>
                <w:p>
                  <w:pPr>
                    <w:spacing w:line="360" w:lineRule="auto"/>
                    <w:rPr>
                      <w:sz w:val="28"/>
                      <w:szCs w:val="28"/>
                    </w:rPr>
                  </w:pPr>
                  <w:r>
                    <w:rPr>
                      <w:rFonts w:hint="eastAsia"/>
                      <w:sz w:val="28"/>
                      <w:szCs w:val="28"/>
                    </w:rPr>
                    <w:t>传真：——</w:t>
                  </w:r>
                </w:p>
                <w:p>
                  <w:pPr>
                    <w:spacing w:line="360" w:lineRule="auto"/>
                    <w:rPr>
                      <w:sz w:val="28"/>
                      <w:szCs w:val="28"/>
                    </w:rPr>
                  </w:pPr>
                  <w:r>
                    <w:rPr>
                      <w:rFonts w:hint="eastAsia"/>
                      <w:sz w:val="28"/>
                      <w:szCs w:val="28"/>
                    </w:rPr>
                    <w:t>邮编：221200</w:t>
                  </w:r>
                </w:p>
                <w:p>
                  <w:pPr>
                    <w:spacing w:line="360" w:lineRule="auto"/>
                    <w:rPr>
                      <w:rFonts w:ascii="宋体" w:hAnsi="宋体" w:cs="宋体"/>
                      <w:sz w:val="28"/>
                      <w:szCs w:val="28"/>
                    </w:rPr>
                  </w:pPr>
                  <w:r>
                    <w:rPr>
                      <w:rFonts w:hint="eastAsia"/>
                      <w:sz w:val="28"/>
                      <w:szCs w:val="28"/>
                    </w:rPr>
                    <w:t>地址：</w:t>
                  </w:r>
                  <w:r>
                    <w:rPr>
                      <w:rFonts w:hint="eastAsia" w:ascii="宋体" w:hAnsi="宋体" w:cs="宋体"/>
                      <w:color w:val="000000"/>
                      <w:sz w:val="28"/>
                      <w:szCs w:val="28"/>
                    </w:rPr>
                    <w:t>睢宁县高作镇官杨村</w:t>
                  </w:r>
                </w:p>
              </w:txbxContent>
            </v:textbox>
          </v:shape>
        </w:pict>
      </w:r>
    </w:p>
    <w:p>
      <w:pPr>
        <w:spacing w:line="0" w:lineRule="atLeast"/>
        <w:rPr>
          <w:sz w:val="28"/>
          <w:szCs w:val="28"/>
        </w:rPr>
      </w:pPr>
      <w:r>
        <w:rPr>
          <w:sz w:val="28"/>
          <w:szCs w:val="28"/>
        </w:rPr>
        <w:pict>
          <v:shape id="Text Box 392" o:spid="_x0000_s1027" o:spt="202" type="#_x0000_t202" style="position:absolute;left:0pt;margin-left:-7.95pt;margin-top:-0.1pt;height:204pt;width:252.75pt;z-index:251662336;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">
            <v:path/>
            <v:fill on="f" focussize="0,0"/>
            <v:stroke on="f" joinstyle="miter"/>
            <v:imagedata o:title=""/>
            <o:lock v:ext="edit"/>
            <v:textbox>
              <w:txbxContent>
                <w:p>
                  <w:pPr>
                    <w:spacing w:line="360" w:lineRule="auto"/>
                    <w:rPr>
                      <w:sz w:val="28"/>
                      <w:szCs w:val="28"/>
                    </w:rPr>
                  </w:pPr>
                  <w:r>
                    <w:rPr>
                      <w:rFonts w:hint="eastAsia"/>
                      <w:sz w:val="28"/>
                      <w:szCs w:val="28"/>
                    </w:rPr>
                    <w:t>建设单位：华润新能源（睢宁）有限公司</w:t>
                  </w:r>
                </w:p>
                <w:p>
                  <w:pPr>
                    <w:spacing w:line="360" w:lineRule="auto"/>
                    <w:rPr>
                      <w:color w:val="000000"/>
                      <w:sz w:val="28"/>
                      <w:szCs w:val="28"/>
                    </w:rPr>
                  </w:pPr>
                  <w:r>
                    <w:rPr>
                      <w:rFonts w:hint="eastAsia"/>
                      <w:sz w:val="28"/>
                      <w:szCs w:val="28"/>
                    </w:rPr>
                    <w:t>电话：</w:t>
                  </w:r>
                  <w:r>
                    <w:rPr>
                      <w:rFonts w:hint="eastAsia"/>
                      <w:color w:val="000000"/>
                      <w:sz w:val="28"/>
                      <w:szCs w:val="28"/>
                    </w:rPr>
                    <w:t>13952217056</w:t>
                  </w:r>
                </w:p>
                <w:p>
                  <w:pPr>
                    <w:spacing w:line="360" w:lineRule="auto"/>
                    <w:rPr>
                      <w:sz w:val="28"/>
                      <w:szCs w:val="28"/>
                    </w:rPr>
                  </w:pPr>
                  <w:r>
                    <w:rPr>
                      <w:rFonts w:hint="eastAsia"/>
                      <w:sz w:val="28"/>
                      <w:szCs w:val="28"/>
                    </w:rPr>
                    <w:t>传真：——</w:t>
                  </w:r>
                </w:p>
                <w:p>
                  <w:pPr>
                    <w:spacing w:line="360" w:lineRule="auto"/>
                    <w:rPr>
                      <w:sz w:val="28"/>
                      <w:szCs w:val="28"/>
                    </w:rPr>
                  </w:pPr>
                  <w:r>
                    <w:rPr>
                      <w:rFonts w:hint="eastAsia"/>
                      <w:sz w:val="28"/>
                      <w:szCs w:val="28"/>
                    </w:rPr>
                    <w:t>邮编：221200</w:t>
                  </w:r>
                </w:p>
                <w:p>
                  <w:pPr>
                    <w:spacing w:line="360" w:lineRule="auto"/>
                    <w:rPr>
                      <w:sz w:val="28"/>
                      <w:szCs w:val="28"/>
                    </w:rPr>
                  </w:pPr>
                  <w:r>
                    <w:rPr>
                      <w:rFonts w:hint="eastAsia"/>
                      <w:sz w:val="28"/>
                      <w:szCs w:val="28"/>
                    </w:rPr>
                    <w:t>地址：</w:t>
                  </w:r>
                  <w:r>
                    <w:rPr>
                      <w:rFonts w:hint="eastAsia" w:ascii="宋体" w:hAnsi="宋体" w:cs="宋体"/>
                      <w:color w:val="000000"/>
                      <w:sz w:val="28"/>
                      <w:szCs w:val="28"/>
                    </w:rPr>
                    <w:t>睢宁县高作镇官杨村</w:t>
                  </w:r>
                </w:p>
              </w:txbxContent>
            </v:textbox>
          </v:shape>
        </w:pict>
      </w:r>
    </w:p>
    <w:p>
      <w:pPr>
        <w:spacing w:line="0" w:lineRule="atLeast"/>
        <w:rPr>
          <w:sz w:val="28"/>
          <w:szCs w:val="28"/>
        </w:rPr>
      </w:pPr>
    </w:p>
    <w:p>
      <w:pPr>
        <w:spacing w:line="0" w:lineRule="atLeast"/>
        <w:rPr>
          <w:sz w:val="28"/>
          <w:szCs w:val="28"/>
        </w:rPr>
      </w:pPr>
    </w:p>
    <w:p>
      <w:pPr>
        <w:spacing w:line="0" w:lineRule="atLeast"/>
        <w:rPr>
          <w:sz w:val="28"/>
        </w:rPr>
      </w:pPr>
    </w:p>
    <w:p>
      <w:pPr>
        <w:spacing w:line="0" w:lineRule="atLeast"/>
        <w:rPr>
          <w:sz w:val="28"/>
        </w:rPr>
      </w:pPr>
    </w:p>
    <w:p>
      <w:pPr>
        <w:jc w:val="center"/>
        <w:rPr>
          <w:sz w:val="28"/>
        </w:rPr>
      </w:pPr>
      <w:r>
        <w:rPr>
          <w:sz w:val="28"/>
        </w:rPr>
        <w:br w:type="page"/>
      </w:r>
    </w:p>
    <w:p>
      <w:pPr>
        <w:jc w:val="center"/>
        <w:rPr>
          <w:sz w:val="28"/>
        </w:rPr>
      </w:pPr>
    </w:p>
    <w:p>
      <w:pPr>
        <w:jc w:val="center"/>
        <w:rPr>
          <w:rFonts w:cs="宋体"/>
          <w:b/>
          <w:bCs/>
          <w:sz w:val="36"/>
          <w:szCs w:val="36"/>
        </w:rPr>
      </w:pPr>
      <w:r>
        <w:rPr>
          <w:rFonts w:hint="eastAsia" w:cs="宋体"/>
          <w:b/>
          <w:bCs/>
          <w:sz w:val="36"/>
          <w:szCs w:val="36"/>
        </w:rPr>
        <w:t>目录</w:t>
      </w:r>
    </w:p>
    <w:p>
      <w:pPr>
        <w:jc w:val="center"/>
        <w:rPr>
          <w:rFonts w:cs="宋体"/>
          <w:sz w:val="44"/>
          <w:szCs w:val="44"/>
        </w:rPr>
      </w:pPr>
    </w:p>
    <w:p>
      <w:pPr>
        <w:pStyle w:val="25"/>
        <w:tabs>
          <w:tab w:val="right" w:leader="dot" w:pos="9638"/>
          <w:tab w:val="clear" w:pos="9628"/>
        </w:tabs>
      </w:pPr>
      <w:r>
        <w:rPr>
          <w:rFonts w:ascii="Times New Roman" w:hAnsi="Times New Roman"/>
          <w:b/>
          <w:bCs/>
          <w:szCs w:val="24"/>
        </w:rPr>
        <w:fldChar w:fldCharType="begin"/>
      </w:r>
      <w:r>
        <w:rPr>
          <w:rFonts w:ascii="Times New Roman" w:hAnsi="Times New Roman"/>
          <w:b/>
          <w:bCs/>
          <w:szCs w:val="24"/>
        </w:rPr>
        <w:instrText xml:space="preserve"> TOC \o "1-2" \h \z \u </w:instrText>
      </w:r>
      <w:r>
        <w:rPr>
          <w:rFonts w:ascii="Times New Roman" w:hAnsi="Times New Roman"/>
          <w:b/>
          <w:bCs/>
          <w:szCs w:val="24"/>
        </w:rPr>
        <w:fldChar w:fldCharType="separate"/>
      </w:r>
      <w:r>
        <w:fldChar w:fldCharType="begin"/>
      </w:r>
      <w:r>
        <w:instrText xml:space="preserve"> HYPERLINK \l "_Toc12806" </w:instrText>
      </w:r>
      <w:r>
        <w:fldChar w:fldCharType="separate"/>
      </w:r>
      <w:r>
        <w:rPr>
          <w:rFonts w:hint="eastAsia"/>
        </w:rPr>
        <w:t>表一 项目总体情况</w:t>
      </w:r>
      <w:r>
        <w:tab/>
      </w:r>
      <w:r>
        <w:fldChar w:fldCharType="begin"/>
      </w:r>
      <w:r>
        <w:instrText xml:space="preserve"> PAGEREF _Toc12806 \h </w:instrText>
      </w:r>
      <w:r>
        <w:fldChar w:fldCharType="separate"/>
      </w:r>
      <w:r>
        <w:t>3</w:t>
      </w:r>
      <w:r>
        <w:fldChar w:fldCharType="end"/>
      </w:r>
      <w:r>
        <w:fldChar w:fldCharType="end"/>
      </w:r>
    </w:p>
    <w:p>
      <w:pPr>
        <w:pStyle w:val="25"/>
        <w:tabs>
          <w:tab w:val="right" w:leader="dot" w:pos="9638"/>
          <w:tab w:val="clear" w:pos="9628"/>
        </w:tabs>
      </w:pPr>
      <w:r>
        <w:fldChar w:fldCharType="begin"/>
      </w:r>
      <w:r>
        <w:instrText xml:space="preserve"> HYPERLINK \l "_Toc28090" </w:instrText>
      </w:r>
      <w:r>
        <w:fldChar w:fldCharType="separate"/>
      </w:r>
      <w:r>
        <w:rPr>
          <w:rFonts w:hint="eastAsia" w:asciiTheme="majorEastAsia" w:hAnsiTheme="majorEastAsia" w:eastAsiaTheme="majorEastAsia" w:cstheme="majorEastAsia"/>
          <w:bCs/>
          <w:spacing w:val="-3"/>
        </w:rPr>
        <w:t>表二调查范围、因子、目标、重点</w:t>
      </w:r>
      <w:r>
        <w:tab/>
      </w:r>
      <w:r>
        <w:fldChar w:fldCharType="begin"/>
      </w:r>
      <w:r>
        <w:instrText xml:space="preserve"> PAGEREF _Toc28090 \h </w:instrText>
      </w:r>
      <w:r>
        <w:fldChar w:fldCharType="separate"/>
      </w:r>
      <w:r>
        <w:t>4</w:t>
      </w:r>
      <w:r>
        <w:fldChar w:fldCharType="end"/>
      </w:r>
      <w:r>
        <w:fldChar w:fldCharType="end"/>
      </w:r>
    </w:p>
    <w:p>
      <w:pPr>
        <w:pStyle w:val="25"/>
        <w:tabs>
          <w:tab w:val="right" w:leader="dot" w:pos="9638"/>
          <w:tab w:val="clear" w:pos="9628"/>
        </w:tabs>
      </w:pPr>
      <w:r>
        <w:fldChar w:fldCharType="begin"/>
      </w:r>
      <w:r>
        <w:instrText xml:space="preserve"> HYPERLINK \l "_Toc32596" </w:instrText>
      </w:r>
      <w:r>
        <w:fldChar w:fldCharType="separate"/>
      </w:r>
      <w:r>
        <w:rPr>
          <w:rFonts w:hint="eastAsia" w:cs="宋体"/>
          <w:spacing w:val="-4"/>
        </w:rPr>
        <w:t>表三验收执行标准</w:t>
      </w:r>
      <w:r>
        <w:tab/>
      </w:r>
      <w:r>
        <w:fldChar w:fldCharType="begin"/>
      </w:r>
      <w:r>
        <w:instrText xml:space="preserve"> PAGEREF _Toc32596 \h </w:instrText>
      </w:r>
      <w:r>
        <w:fldChar w:fldCharType="separate"/>
      </w:r>
      <w:r>
        <w:t>5</w:t>
      </w:r>
      <w:r>
        <w:fldChar w:fldCharType="end"/>
      </w:r>
      <w:r>
        <w:fldChar w:fldCharType="end"/>
      </w:r>
    </w:p>
    <w:p>
      <w:pPr>
        <w:pStyle w:val="25"/>
        <w:tabs>
          <w:tab w:val="right" w:leader="dot" w:pos="9638"/>
          <w:tab w:val="clear" w:pos="9628"/>
        </w:tabs>
      </w:pPr>
      <w:r>
        <w:fldChar w:fldCharType="begin"/>
      </w:r>
      <w:r>
        <w:instrText xml:space="preserve"> HYPERLINK \l "_Toc4884" </w:instrText>
      </w:r>
      <w:r>
        <w:fldChar w:fldCharType="separate"/>
      </w:r>
      <w:r>
        <w:t>表</w:t>
      </w:r>
      <w:r>
        <w:rPr>
          <w:rFonts w:hint="eastAsia"/>
        </w:rPr>
        <w:t>四工况概况</w:t>
      </w:r>
      <w:r>
        <w:t>（附示意图）</w:t>
      </w:r>
      <w:r>
        <w:tab/>
      </w:r>
      <w:r>
        <w:fldChar w:fldCharType="begin"/>
      </w:r>
      <w:r>
        <w:instrText xml:space="preserve"> PAGEREF _Toc4884 \h </w:instrText>
      </w:r>
      <w:r>
        <w:fldChar w:fldCharType="separate"/>
      </w:r>
      <w:r>
        <w:t>6</w:t>
      </w:r>
      <w:r>
        <w:fldChar w:fldCharType="end"/>
      </w:r>
      <w:r>
        <w:fldChar w:fldCharType="end"/>
      </w:r>
    </w:p>
    <w:p>
      <w:pPr>
        <w:pStyle w:val="25"/>
        <w:tabs>
          <w:tab w:val="right" w:leader="dot" w:pos="9638"/>
          <w:tab w:val="clear" w:pos="9628"/>
        </w:tabs>
      </w:pPr>
      <w:r>
        <w:fldChar w:fldCharType="begin"/>
      </w:r>
      <w:r>
        <w:instrText xml:space="preserve"> HYPERLINK \l "_Toc31257" </w:instrText>
      </w:r>
      <w:r>
        <w:fldChar w:fldCharType="separate"/>
      </w:r>
      <w:r>
        <w:t>表</w:t>
      </w:r>
      <w:r>
        <w:rPr>
          <w:rFonts w:hint="eastAsia"/>
        </w:rPr>
        <w:t>五</w:t>
      </w:r>
      <w:r>
        <w:t xml:space="preserve"> 主要污染源、污染物处理和排放流程</w:t>
      </w:r>
      <w:r>
        <w:tab/>
      </w:r>
      <w:r>
        <w:fldChar w:fldCharType="begin"/>
      </w:r>
      <w:r>
        <w:instrText xml:space="preserve"> PAGEREF _Toc31257 \h </w:instrText>
      </w:r>
      <w:r>
        <w:fldChar w:fldCharType="separate"/>
      </w:r>
      <w:r>
        <w:t>8</w:t>
      </w:r>
      <w:r>
        <w:fldChar w:fldCharType="end"/>
      </w:r>
      <w:r>
        <w:fldChar w:fldCharType="end"/>
      </w:r>
    </w:p>
    <w:p>
      <w:pPr>
        <w:pStyle w:val="25"/>
        <w:tabs>
          <w:tab w:val="right" w:leader="dot" w:pos="9638"/>
          <w:tab w:val="clear" w:pos="9628"/>
        </w:tabs>
      </w:pPr>
      <w:r>
        <w:fldChar w:fldCharType="begin"/>
      </w:r>
      <w:r>
        <w:instrText xml:space="preserve"> HYPERLINK \l "_Toc10860" </w:instrText>
      </w:r>
      <w:r>
        <w:fldChar w:fldCharType="separate"/>
      </w:r>
      <w:r>
        <w:rPr>
          <w:rFonts w:hint="eastAsia" w:cs="宋体"/>
          <w:bCs/>
          <w:spacing w:val="-4"/>
        </w:rPr>
        <w:t>表</w:t>
      </w:r>
      <w:r>
        <w:rPr>
          <w:rFonts w:hint="eastAsia" w:cs="宋体"/>
          <w:bCs/>
          <w:spacing w:val="-53"/>
        </w:rPr>
        <w:t>六</w:t>
      </w:r>
      <w:r>
        <w:rPr>
          <w:rFonts w:hint="eastAsia" w:cs="宋体"/>
          <w:bCs/>
          <w:spacing w:val="-4"/>
        </w:rPr>
        <w:t>环境影响评价回顾</w:t>
      </w:r>
      <w:r>
        <w:tab/>
      </w:r>
      <w:r>
        <w:fldChar w:fldCharType="begin"/>
      </w:r>
      <w:r>
        <w:instrText xml:space="preserve"> PAGEREF _Toc10860 \h </w:instrText>
      </w:r>
      <w:r>
        <w:fldChar w:fldCharType="separate"/>
      </w:r>
      <w:r>
        <w:t>10</w:t>
      </w:r>
      <w:r>
        <w:fldChar w:fldCharType="end"/>
      </w:r>
      <w:r>
        <w:fldChar w:fldCharType="end"/>
      </w:r>
    </w:p>
    <w:p>
      <w:pPr>
        <w:pStyle w:val="25"/>
        <w:tabs>
          <w:tab w:val="right" w:leader="dot" w:pos="9638"/>
          <w:tab w:val="clear" w:pos="9628"/>
        </w:tabs>
      </w:pPr>
      <w:r>
        <w:fldChar w:fldCharType="begin"/>
      </w:r>
      <w:r>
        <w:instrText xml:space="preserve"> HYPERLINK \l "_Toc17602" </w:instrText>
      </w:r>
      <w:r>
        <w:fldChar w:fldCharType="separate"/>
      </w:r>
      <w:r>
        <w:t>表</w:t>
      </w:r>
      <w:r>
        <w:rPr>
          <w:rFonts w:hint="eastAsia"/>
        </w:rPr>
        <w:t>七 建设项目环评报告表审批部门审批决定</w:t>
      </w:r>
      <w:r>
        <w:tab/>
      </w:r>
      <w:r>
        <w:fldChar w:fldCharType="begin"/>
      </w:r>
      <w:r>
        <w:instrText xml:space="preserve"> PAGEREF _Toc17602 \h </w:instrText>
      </w:r>
      <w:r>
        <w:fldChar w:fldCharType="separate"/>
      </w:r>
      <w:r>
        <w:t>11</w:t>
      </w:r>
      <w:r>
        <w:fldChar w:fldCharType="end"/>
      </w:r>
      <w:r>
        <w:fldChar w:fldCharType="end"/>
      </w:r>
    </w:p>
    <w:p>
      <w:pPr>
        <w:pStyle w:val="25"/>
        <w:tabs>
          <w:tab w:val="right" w:leader="dot" w:pos="9638"/>
          <w:tab w:val="clear" w:pos="9628"/>
        </w:tabs>
      </w:pPr>
      <w:r>
        <w:fldChar w:fldCharType="begin"/>
      </w:r>
      <w:r>
        <w:instrText xml:space="preserve"> HYPERLINK \l "_Toc8578" </w:instrText>
      </w:r>
      <w:r>
        <w:fldChar w:fldCharType="separate"/>
      </w:r>
      <w:r>
        <w:t>表</w:t>
      </w:r>
      <w:r>
        <w:rPr>
          <w:rFonts w:hint="eastAsia"/>
        </w:rPr>
        <w:t>八 验收监测质量保证及质量控制</w:t>
      </w:r>
      <w:r>
        <w:tab/>
      </w:r>
      <w:r>
        <w:fldChar w:fldCharType="begin"/>
      </w:r>
      <w:r>
        <w:instrText xml:space="preserve"> PAGEREF _Toc8578 \h </w:instrText>
      </w:r>
      <w:r>
        <w:fldChar w:fldCharType="separate"/>
      </w:r>
      <w:r>
        <w:t>13</w:t>
      </w:r>
      <w:r>
        <w:fldChar w:fldCharType="end"/>
      </w:r>
      <w:r>
        <w:fldChar w:fldCharType="end"/>
      </w:r>
    </w:p>
    <w:p>
      <w:pPr>
        <w:pStyle w:val="25"/>
        <w:tabs>
          <w:tab w:val="right" w:leader="dot" w:pos="9638"/>
          <w:tab w:val="clear" w:pos="9628"/>
        </w:tabs>
      </w:pPr>
      <w:r>
        <w:fldChar w:fldCharType="begin"/>
      </w:r>
      <w:r>
        <w:instrText xml:space="preserve"> HYPERLINK \l "_Toc16111" </w:instrText>
      </w:r>
      <w:r>
        <w:fldChar w:fldCharType="separate"/>
      </w:r>
      <w:r>
        <w:rPr>
          <w:rFonts w:hint="eastAsia" w:cs="宋体"/>
          <w:spacing w:val="-4"/>
        </w:rPr>
        <w:t>表</w:t>
      </w:r>
      <w:r>
        <w:rPr>
          <w:rFonts w:hint="eastAsia" w:cs="宋体"/>
          <w:spacing w:val="-47"/>
        </w:rPr>
        <w:t>九</w:t>
      </w:r>
      <w:r>
        <w:rPr>
          <w:rFonts w:hint="eastAsia" w:cs="宋体"/>
          <w:spacing w:val="-4"/>
        </w:rPr>
        <w:t>环境保护措施执行情况</w:t>
      </w:r>
      <w:r>
        <w:tab/>
      </w:r>
      <w:r>
        <w:fldChar w:fldCharType="begin"/>
      </w:r>
      <w:r>
        <w:instrText xml:space="preserve"> PAGEREF _Toc16111 \h </w:instrText>
      </w:r>
      <w:r>
        <w:fldChar w:fldCharType="separate"/>
      </w:r>
      <w:r>
        <w:t>17</w:t>
      </w:r>
      <w:r>
        <w:fldChar w:fldCharType="end"/>
      </w:r>
      <w:r>
        <w:fldChar w:fldCharType="end"/>
      </w:r>
    </w:p>
    <w:p>
      <w:pPr>
        <w:pStyle w:val="25"/>
        <w:tabs>
          <w:tab w:val="right" w:leader="dot" w:pos="9638"/>
          <w:tab w:val="clear" w:pos="9628"/>
        </w:tabs>
      </w:pPr>
      <w:r>
        <w:fldChar w:fldCharType="begin"/>
      </w:r>
      <w:r>
        <w:instrText xml:space="preserve"> HYPERLINK \l "_Toc26321" </w:instrText>
      </w:r>
      <w:r>
        <w:fldChar w:fldCharType="separate"/>
      </w:r>
      <w:r>
        <w:rPr>
          <w:rFonts w:hint="eastAsia"/>
        </w:rPr>
        <w:t>表十 环境影响调查</w:t>
      </w:r>
      <w:r>
        <w:tab/>
      </w:r>
      <w:r>
        <w:fldChar w:fldCharType="begin"/>
      </w:r>
      <w:r>
        <w:instrText xml:space="preserve"> PAGEREF _Toc26321 \h </w:instrText>
      </w:r>
      <w:r>
        <w:fldChar w:fldCharType="separate"/>
      </w:r>
      <w:r>
        <w:t>18</w:t>
      </w:r>
      <w:r>
        <w:fldChar w:fldCharType="end"/>
      </w:r>
      <w:r>
        <w:fldChar w:fldCharType="end"/>
      </w:r>
    </w:p>
    <w:p>
      <w:pPr>
        <w:pStyle w:val="25"/>
        <w:tabs>
          <w:tab w:val="right" w:leader="dot" w:pos="9638"/>
          <w:tab w:val="clear" w:pos="9628"/>
        </w:tabs>
      </w:pPr>
      <w:r>
        <w:fldChar w:fldCharType="begin"/>
      </w:r>
      <w:r>
        <w:instrText xml:space="preserve"> HYPERLINK \l "_Toc23839" </w:instrText>
      </w:r>
      <w:r>
        <w:fldChar w:fldCharType="separate"/>
      </w:r>
      <w:r>
        <w:rPr>
          <w:rFonts w:hint="eastAsia"/>
        </w:rPr>
        <w:t>表十一 验收调查结论及建议</w:t>
      </w:r>
      <w:r>
        <w:tab/>
      </w:r>
      <w:r>
        <w:fldChar w:fldCharType="begin"/>
      </w:r>
      <w:r>
        <w:instrText xml:space="preserve"> PAGEREF _Toc23839 \h </w:instrText>
      </w:r>
      <w:r>
        <w:fldChar w:fldCharType="separate"/>
      </w:r>
      <w:r>
        <w:t>20</w:t>
      </w:r>
      <w:r>
        <w:fldChar w:fldCharType="end"/>
      </w:r>
      <w:r>
        <w:fldChar w:fldCharType="end"/>
      </w:r>
    </w:p>
    <w:p>
      <w:pPr>
        <w:pStyle w:val="25"/>
        <w:tabs>
          <w:tab w:val="right" w:leader="dot" w:pos="9638"/>
          <w:tab w:val="clear" w:pos="9628"/>
        </w:tabs>
      </w:pPr>
      <w:r>
        <w:fldChar w:fldCharType="begin"/>
      </w:r>
      <w:r>
        <w:instrText xml:space="preserve"> HYPERLINK \l "_Toc9475" </w:instrText>
      </w:r>
      <w:r>
        <w:fldChar w:fldCharType="separate"/>
      </w:r>
      <w:r>
        <w:t>附件1、项目地理位置图</w:t>
      </w:r>
      <w:r>
        <w:tab/>
      </w:r>
      <w:r>
        <w:fldChar w:fldCharType="begin"/>
      </w:r>
      <w:r>
        <w:instrText xml:space="preserve"> PAGEREF _Toc9475 \h </w:instrText>
      </w:r>
      <w:r>
        <w:fldChar w:fldCharType="separate"/>
      </w:r>
      <w:r>
        <w:t>21</w:t>
      </w:r>
      <w:r>
        <w:fldChar w:fldCharType="end"/>
      </w:r>
      <w:r>
        <w:fldChar w:fldCharType="end"/>
      </w:r>
    </w:p>
    <w:p>
      <w:pPr>
        <w:pStyle w:val="25"/>
        <w:tabs>
          <w:tab w:val="right" w:leader="dot" w:pos="9638"/>
          <w:tab w:val="clear" w:pos="9628"/>
        </w:tabs>
      </w:pPr>
      <w:r>
        <w:fldChar w:fldCharType="begin"/>
      </w:r>
      <w:r>
        <w:instrText xml:space="preserve"> HYPERLINK \l "_Toc11992" </w:instrText>
      </w:r>
      <w:r>
        <w:fldChar w:fldCharType="separate"/>
      </w:r>
      <w:r>
        <w:t>附件2、建设项目周边概况图</w:t>
      </w:r>
      <w:r>
        <w:tab/>
      </w:r>
      <w:r>
        <w:fldChar w:fldCharType="begin"/>
      </w:r>
      <w:r>
        <w:instrText xml:space="preserve"> PAGEREF _Toc11992 \h </w:instrText>
      </w:r>
      <w:r>
        <w:fldChar w:fldCharType="separate"/>
      </w:r>
      <w:r>
        <w:t>22</w:t>
      </w:r>
      <w:r>
        <w:fldChar w:fldCharType="end"/>
      </w:r>
      <w:r>
        <w:fldChar w:fldCharType="end"/>
      </w:r>
    </w:p>
    <w:p>
      <w:pPr>
        <w:pStyle w:val="25"/>
        <w:tabs>
          <w:tab w:val="right" w:leader="dot" w:pos="9638"/>
          <w:tab w:val="clear" w:pos="9628"/>
        </w:tabs>
      </w:pPr>
      <w:r>
        <w:fldChar w:fldCharType="begin"/>
      </w:r>
      <w:r>
        <w:instrText xml:space="preserve"> HYPERLINK \l "_Toc1799" </w:instrText>
      </w:r>
      <w:r>
        <w:fldChar w:fldCharType="separate"/>
      </w:r>
      <w:r>
        <w:t>附件3、建设项目平面布置图</w:t>
      </w:r>
      <w:r>
        <w:tab/>
      </w:r>
      <w:r>
        <w:fldChar w:fldCharType="begin"/>
      </w:r>
      <w:r>
        <w:instrText xml:space="preserve"> PAGEREF _Toc1799 \h </w:instrText>
      </w:r>
      <w:r>
        <w:fldChar w:fldCharType="separate"/>
      </w:r>
      <w:r>
        <w:t>23</w:t>
      </w:r>
      <w:r>
        <w:fldChar w:fldCharType="end"/>
      </w:r>
      <w:r>
        <w:fldChar w:fldCharType="end"/>
      </w:r>
    </w:p>
    <w:p>
      <w:pPr>
        <w:pStyle w:val="25"/>
        <w:tabs>
          <w:tab w:val="right" w:leader="dot" w:pos="9638"/>
          <w:tab w:val="clear" w:pos="9628"/>
        </w:tabs>
      </w:pPr>
      <w:r>
        <w:fldChar w:fldCharType="begin"/>
      </w:r>
      <w:r>
        <w:instrText xml:space="preserve"> HYPERLINK \l "_Toc3810" </w:instrText>
      </w:r>
      <w:r>
        <w:fldChar w:fldCharType="separate"/>
      </w:r>
      <w:r>
        <w:t>附件4、建设项目竣工环境保护“三同时”验收登记表</w:t>
      </w:r>
      <w:r>
        <w:tab/>
      </w:r>
      <w:r>
        <w:fldChar w:fldCharType="begin"/>
      </w:r>
      <w:r>
        <w:instrText xml:space="preserve"> PAGEREF _Toc3810 \h </w:instrText>
      </w:r>
      <w:r>
        <w:fldChar w:fldCharType="separate"/>
      </w:r>
      <w:r>
        <w:t>24</w:t>
      </w:r>
      <w:r>
        <w:fldChar w:fldCharType="end"/>
      </w:r>
      <w:r>
        <w:fldChar w:fldCharType="end"/>
      </w:r>
    </w:p>
    <w:p>
      <w:pPr>
        <w:pStyle w:val="25"/>
        <w:tabs>
          <w:tab w:val="right" w:leader="dot" w:pos="9638"/>
          <w:tab w:val="clear" w:pos="9628"/>
        </w:tabs>
      </w:pPr>
      <w:r>
        <w:fldChar w:fldCharType="begin"/>
      </w:r>
      <w:r>
        <w:instrText xml:space="preserve"> HYPERLINK \l "_Toc12747" </w:instrText>
      </w:r>
      <w:r>
        <w:fldChar w:fldCharType="separate"/>
      </w:r>
      <w:r>
        <w:t>附件5、</w:t>
      </w:r>
      <w:r>
        <w:rPr>
          <w:rFonts w:hint="eastAsia"/>
        </w:rPr>
        <w:t>建设项目环保审批意见</w:t>
      </w:r>
      <w:r>
        <w:tab/>
      </w:r>
      <w:r>
        <w:fldChar w:fldCharType="begin"/>
      </w:r>
      <w:r>
        <w:instrText xml:space="preserve"> PAGEREF _Toc12747 \h </w:instrText>
      </w:r>
      <w:r>
        <w:fldChar w:fldCharType="separate"/>
      </w:r>
      <w:r>
        <w:t>25</w:t>
      </w:r>
      <w:r>
        <w:fldChar w:fldCharType="end"/>
      </w:r>
      <w:r>
        <w:fldChar w:fldCharType="end"/>
      </w:r>
    </w:p>
    <w:p>
      <w:pPr>
        <w:pStyle w:val="25"/>
        <w:tabs>
          <w:tab w:val="right" w:leader="dot" w:pos="9638"/>
          <w:tab w:val="clear" w:pos="9628"/>
        </w:tabs>
      </w:pPr>
      <w:r>
        <w:fldChar w:fldCharType="begin"/>
      </w:r>
      <w:r>
        <w:instrText xml:space="preserve"> HYPERLINK \l "_Toc5776" </w:instrText>
      </w:r>
      <w:r>
        <w:fldChar w:fldCharType="separate"/>
      </w:r>
      <w:r>
        <w:rPr>
          <w:rFonts w:hint="eastAsia"/>
        </w:rPr>
        <w:t>附件6、验收监测报告</w:t>
      </w:r>
      <w:r>
        <w:tab/>
      </w:r>
      <w:r>
        <w:fldChar w:fldCharType="begin"/>
      </w:r>
      <w:r>
        <w:instrText xml:space="preserve"> PAGEREF _Toc5776 \h </w:instrText>
      </w:r>
      <w:r>
        <w:fldChar w:fldCharType="separate"/>
      </w:r>
      <w:r>
        <w:t>27</w:t>
      </w:r>
      <w:r>
        <w:fldChar w:fldCharType="end"/>
      </w:r>
      <w:r>
        <w:fldChar w:fldCharType="end"/>
      </w:r>
    </w:p>
    <w:p>
      <w:pPr>
        <w:pStyle w:val="25"/>
        <w:tabs>
          <w:tab w:val="right" w:leader="dot" w:pos="9638"/>
          <w:tab w:val="clear" w:pos="9628"/>
        </w:tabs>
      </w:pPr>
      <w:r>
        <w:fldChar w:fldCharType="begin"/>
      </w:r>
      <w:r>
        <w:instrText xml:space="preserve"> HYPERLINK \l "_Toc18673" </w:instrText>
      </w:r>
      <w:r>
        <w:fldChar w:fldCharType="separate"/>
      </w:r>
      <w:r>
        <w:t>附件</w:t>
      </w:r>
      <w:r>
        <w:rPr>
          <w:rFonts w:hint="eastAsia"/>
        </w:rPr>
        <w:t>7</w:t>
      </w:r>
      <w:r>
        <w:t>、</w:t>
      </w:r>
      <w:r>
        <w:rPr>
          <w:rFonts w:hint="eastAsia"/>
        </w:rPr>
        <w:t>验收意见及签到表</w:t>
      </w:r>
      <w:r>
        <w:tab/>
      </w:r>
      <w:r>
        <w:fldChar w:fldCharType="begin"/>
      </w:r>
      <w:r>
        <w:instrText xml:space="preserve"> PAGEREF _Toc18673 \h </w:instrText>
      </w:r>
      <w:r>
        <w:fldChar w:fldCharType="separate"/>
      </w:r>
      <w:r>
        <w:t>42</w:t>
      </w:r>
      <w:r>
        <w:fldChar w:fldCharType="end"/>
      </w:r>
      <w:r>
        <w:fldChar w:fldCharType="end"/>
      </w:r>
    </w:p>
    <w:p>
      <w:pPr>
        <w:keepNext/>
        <w:keepLines/>
        <w:spacing w:line="360" w:lineRule="auto"/>
        <w:rPr>
          <w:color w:val="000000"/>
        </w:rPr>
      </w:pPr>
      <w:r>
        <w:rPr>
          <w:color w:val="000000"/>
        </w:rPr>
        <w:fldChar w:fldCharType="end"/>
      </w:r>
    </w:p>
    <w:p>
      <w:pPr>
        <w:keepNext/>
        <w:keepLines/>
        <w:spacing w:line="360" w:lineRule="auto"/>
        <w:rPr>
          <w:sz w:val="28"/>
        </w:rPr>
      </w:pPr>
    </w:p>
    <w:p>
      <w:pPr>
        <w:keepNext/>
        <w:keepLines/>
        <w:spacing w:line="360" w:lineRule="auto"/>
        <w:rPr>
          <w:sz w:val="28"/>
        </w:rPr>
      </w:pPr>
    </w:p>
    <w:p>
      <w:pPr>
        <w:keepNext/>
        <w:keepLines/>
        <w:spacing w:line="360" w:lineRule="auto"/>
        <w:rPr>
          <w:sz w:val="28"/>
        </w:rPr>
      </w:pPr>
    </w:p>
    <w:p>
      <w:pPr>
        <w:keepNext/>
        <w:keepLines/>
        <w:spacing w:line="360" w:lineRule="auto"/>
        <w:rPr>
          <w:sz w:val="28"/>
        </w:rPr>
      </w:pPr>
    </w:p>
    <w:p>
      <w:pPr>
        <w:pStyle w:val="2"/>
        <w:ind w:firstLine="0" w:firstLineChars="0"/>
      </w:pPr>
    </w:p>
    <w:p>
      <w:pPr>
        <w:pStyle w:val="4"/>
        <w:spacing w:before="0" w:after="0" w:line="360" w:lineRule="auto"/>
        <w:rPr>
          <w:sz w:val="28"/>
        </w:rPr>
      </w:pPr>
      <w:bookmarkStart w:id="0" w:name="_Toc12806"/>
      <w:r>
        <w:rPr>
          <w:rFonts w:hint="eastAsia"/>
          <w:sz w:val="28"/>
        </w:rPr>
        <w:t>表一 项目总体情况</w:t>
      </w:r>
      <w:bookmarkEnd w:id="0"/>
    </w:p>
    <w:tbl>
      <w:tblPr>
        <w:tblStyle w:val="33"/>
        <w:tblW w:w="497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39"/>
        <w:gridCol w:w="1685"/>
        <w:gridCol w:w="1554"/>
        <w:gridCol w:w="1752"/>
        <w:gridCol w:w="1274"/>
        <w:gridCol w:w="15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tcBorders>
              <w:top w:val="single" w:color="auto" w:sz="12" w:space="0"/>
              <w:bottom w:val="single" w:color="auto" w:sz="6" w:space="0"/>
            </w:tcBorders>
            <w:shd w:val="clear" w:color="auto" w:fill="auto"/>
            <w:vAlign w:val="center"/>
          </w:tcPr>
          <w:p>
            <w:pPr>
              <w:spacing w:beforeLines="20" w:afterLines="20" w:line="0" w:lineRule="atLeast"/>
              <w:jc w:val="center"/>
              <w:rPr>
                <w:szCs w:val="21"/>
              </w:rPr>
            </w:pPr>
            <w:r>
              <w:rPr>
                <w:szCs w:val="21"/>
              </w:rPr>
              <w:t>建设项目名称</w:t>
            </w:r>
          </w:p>
        </w:tc>
        <w:tc>
          <w:tcPr>
            <w:tcW w:w="4010" w:type="pct"/>
            <w:gridSpan w:val="5"/>
            <w:tcBorders>
              <w:top w:val="single" w:color="auto" w:sz="12" w:space="0"/>
              <w:bottom w:val="single" w:color="auto" w:sz="6" w:space="0"/>
            </w:tcBorders>
            <w:shd w:val="clear" w:color="auto" w:fill="auto"/>
            <w:vAlign w:val="center"/>
          </w:tcPr>
          <w:p>
            <w:pPr>
              <w:pStyle w:val="46"/>
              <w:widowControl w:val="0"/>
              <w:pBdr>
                <w:bottom w:val="none" w:color="auto" w:sz="0" w:space="0"/>
              </w:pBdr>
              <w:spacing w:before="20" w:after="20"/>
              <w:rPr>
                <w:rFonts w:ascii="Times New Roman" w:hAnsi="Times New Roman"/>
                <w:szCs w:val="21"/>
              </w:rPr>
            </w:pPr>
            <w:r>
              <w:rPr>
                <w:rFonts w:hint="eastAsia" w:ascii="Times New Roman" w:hAnsi="Times New Roman"/>
                <w:color w:val="000000"/>
                <w:szCs w:val="21"/>
              </w:rPr>
              <w:t>华润新能源（睢宁）有限公司一期风电项目配套110kV升压站工程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tcBorders>
              <w:top w:val="single" w:color="auto" w:sz="6" w:space="0"/>
              <w:bottom w:val="single" w:color="auto" w:sz="6" w:space="0"/>
            </w:tcBorders>
            <w:shd w:val="clear" w:color="auto" w:fill="auto"/>
            <w:vAlign w:val="center"/>
          </w:tcPr>
          <w:p>
            <w:pPr>
              <w:spacing w:beforeLines="20" w:afterLines="20" w:line="0" w:lineRule="atLeast"/>
              <w:jc w:val="center"/>
              <w:rPr>
                <w:szCs w:val="21"/>
              </w:rPr>
            </w:pPr>
            <w:r>
              <w:rPr>
                <w:szCs w:val="21"/>
              </w:rPr>
              <w:t>建设单位名称</w:t>
            </w:r>
          </w:p>
        </w:tc>
        <w:tc>
          <w:tcPr>
            <w:tcW w:w="4010" w:type="pct"/>
            <w:gridSpan w:val="5"/>
            <w:tcBorders>
              <w:top w:val="single" w:color="auto" w:sz="6" w:space="0"/>
              <w:bottom w:val="single" w:color="auto" w:sz="6" w:space="0"/>
            </w:tcBorders>
            <w:shd w:val="clear" w:color="auto" w:fill="auto"/>
            <w:vAlign w:val="center"/>
          </w:tcPr>
          <w:p>
            <w:pPr>
              <w:pStyle w:val="46"/>
              <w:widowControl w:val="0"/>
              <w:pBdr>
                <w:bottom w:val="none" w:color="auto" w:sz="0" w:space="0"/>
              </w:pBdr>
              <w:spacing w:before="20" w:after="20" w:line="0" w:lineRule="atLeast"/>
              <w:rPr>
                <w:rFonts w:ascii="Times New Roman" w:hAnsi="Times New Roman" w:cs="宋体"/>
                <w:kern w:val="2"/>
                <w:szCs w:val="21"/>
              </w:rPr>
            </w:pPr>
            <w:r>
              <w:rPr>
                <w:rFonts w:hint="eastAsia" w:ascii="Times New Roman" w:hAnsi="Times New Roman"/>
                <w:szCs w:val="21"/>
              </w:rPr>
              <w:t>华润新能源（睢宁）有限公司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tcBorders>
              <w:top w:val="single" w:color="auto" w:sz="6" w:space="0"/>
              <w:bottom w:val="single" w:color="auto" w:sz="6" w:space="0"/>
            </w:tcBorders>
            <w:shd w:val="clear" w:color="auto" w:fill="auto"/>
            <w:vAlign w:val="center"/>
          </w:tcPr>
          <w:p>
            <w:pPr>
              <w:spacing w:beforeLines="20" w:afterLines="20" w:line="0" w:lineRule="atLeast"/>
              <w:jc w:val="center"/>
              <w:rPr>
                <w:szCs w:val="21"/>
              </w:rPr>
            </w:pPr>
            <w:r>
              <w:rPr>
                <w:szCs w:val="21"/>
              </w:rPr>
              <w:t>建设项目性质</w:t>
            </w:r>
          </w:p>
        </w:tc>
        <w:tc>
          <w:tcPr>
            <w:tcW w:w="4010" w:type="pct"/>
            <w:gridSpan w:val="5"/>
            <w:tcBorders>
              <w:top w:val="single" w:color="auto" w:sz="6" w:space="0"/>
              <w:bottom w:val="single" w:color="auto" w:sz="6" w:space="0"/>
            </w:tcBorders>
            <w:shd w:val="clear" w:color="auto" w:fill="auto"/>
            <w:vAlign w:val="center"/>
          </w:tcPr>
          <w:p>
            <w:pPr>
              <w:spacing w:before="20" w:after="20" w:line="0" w:lineRule="atLeast"/>
              <w:jc w:val="center"/>
              <w:rPr>
                <w:rFonts w:cs="宋体"/>
                <w:szCs w:val="21"/>
              </w:rPr>
            </w:pPr>
            <w:r>
              <w:rPr>
                <w:rFonts w:hint="eastAsia" w:cs="宋体"/>
                <w:szCs w:val="21"/>
              </w:rPr>
              <w:t>新建√      改扩建     技改    迁建（划√）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tcBorders>
              <w:top w:val="single" w:color="auto" w:sz="6" w:space="0"/>
              <w:bottom w:val="single" w:color="auto" w:sz="6" w:space="0"/>
            </w:tcBorders>
            <w:shd w:val="clear" w:color="auto" w:fill="auto"/>
            <w:vAlign w:val="center"/>
          </w:tcPr>
          <w:p>
            <w:pPr>
              <w:spacing w:beforeLines="20" w:afterLines="20" w:line="0" w:lineRule="atLeast"/>
              <w:jc w:val="center"/>
              <w:rPr>
                <w:szCs w:val="21"/>
              </w:rPr>
            </w:pPr>
            <w:r>
              <w:rPr>
                <w:szCs w:val="21"/>
              </w:rPr>
              <w:t>建设地点</w:t>
            </w:r>
          </w:p>
        </w:tc>
        <w:tc>
          <w:tcPr>
            <w:tcW w:w="4010" w:type="pct"/>
            <w:gridSpan w:val="5"/>
            <w:tcBorders>
              <w:top w:val="single" w:color="auto" w:sz="6" w:space="0"/>
              <w:bottom w:val="single" w:color="auto" w:sz="6" w:space="0"/>
            </w:tcBorders>
            <w:shd w:val="clear" w:color="auto" w:fill="auto"/>
            <w:vAlign w:val="center"/>
          </w:tcPr>
          <w:p>
            <w:pPr>
              <w:spacing w:before="20" w:after="20" w:line="0" w:lineRule="atLeast"/>
              <w:jc w:val="center"/>
              <w:rPr>
                <w:rFonts w:cs="宋体"/>
                <w:szCs w:val="21"/>
              </w:rPr>
            </w:pPr>
            <w:r>
              <w:rPr>
                <w:rFonts w:hint="eastAsia"/>
                <w:color w:val="000000"/>
                <w:szCs w:val="21"/>
              </w:rPr>
              <w:t>睢宁县高作镇官杨村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tcBorders>
              <w:top w:val="single" w:color="auto" w:sz="6" w:space="0"/>
              <w:bottom w:val="single" w:color="auto" w:sz="6" w:space="0"/>
            </w:tcBorders>
            <w:shd w:val="clear" w:color="auto" w:fill="auto"/>
            <w:vAlign w:val="center"/>
          </w:tcPr>
          <w:p>
            <w:pPr>
              <w:spacing w:beforeLines="20" w:afterLines="20" w:line="0" w:lineRule="atLeast"/>
              <w:jc w:val="center"/>
              <w:rPr>
                <w:szCs w:val="21"/>
              </w:rPr>
            </w:pPr>
            <w:r>
              <w:rPr>
                <w:rFonts w:hint="eastAsia"/>
                <w:szCs w:val="21"/>
              </w:rPr>
              <w:t>环境影响报告表名称</w:t>
            </w:r>
          </w:p>
        </w:tc>
        <w:tc>
          <w:tcPr>
            <w:tcW w:w="4010" w:type="pct"/>
            <w:gridSpan w:val="5"/>
            <w:tcBorders>
              <w:top w:val="single" w:color="auto" w:sz="6" w:space="0"/>
              <w:bottom w:val="single" w:color="auto" w:sz="6" w:space="0"/>
            </w:tcBorders>
            <w:shd w:val="clear" w:color="auto" w:fill="auto"/>
            <w:vAlign w:val="center"/>
          </w:tcPr>
          <w:p>
            <w:pPr>
              <w:spacing w:before="20" w:after="20" w:line="0" w:lineRule="atLeast"/>
              <w:jc w:val="center"/>
              <w:rPr>
                <w:color w:val="000000"/>
                <w:szCs w:val="21"/>
              </w:rPr>
            </w:pPr>
            <w:r>
              <w:rPr>
                <w:rFonts w:hint="eastAsia"/>
                <w:color w:val="000000"/>
                <w:szCs w:val="21"/>
              </w:rPr>
              <w:t>华润新能源（睢宁）有限公司一期风电项目配套110kV升压站工程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tcBorders>
              <w:top w:val="single" w:color="auto" w:sz="6" w:space="0"/>
              <w:bottom w:val="single" w:color="auto" w:sz="6" w:space="0"/>
            </w:tcBorders>
            <w:shd w:val="clear" w:color="auto" w:fill="auto"/>
            <w:vAlign w:val="center"/>
          </w:tcPr>
          <w:p>
            <w:pPr>
              <w:spacing w:beforeLines="20" w:afterLines="20" w:line="0" w:lineRule="atLeast"/>
              <w:jc w:val="center"/>
              <w:rPr>
                <w:szCs w:val="21"/>
              </w:rPr>
            </w:pPr>
            <w:r>
              <w:rPr>
                <w:rFonts w:hint="eastAsia"/>
                <w:szCs w:val="21"/>
              </w:rPr>
              <w:t>环境影响报告编制单位</w:t>
            </w:r>
          </w:p>
        </w:tc>
        <w:tc>
          <w:tcPr>
            <w:tcW w:w="4010" w:type="pct"/>
            <w:gridSpan w:val="5"/>
            <w:tcBorders>
              <w:top w:val="single" w:color="auto" w:sz="6" w:space="0"/>
              <w:bottom w:val="single" w:color="auto" w:sz="6" w:space="0"/>
            </w:tcBorders>
            <w:shd w:val="clear" w:color="auto" w:fill="auto"/>
            <w:vAlign w:val="center"/>
          </w:tcPr>
          <w:p>
            <w:pPr>
              <w:spacing w:before="20" w:after="20" w:line="0" w:lineRule="atLeast"/>
              <w:jc w:val="center"/>
              <w:rPr>
                <w:color w:val="000000"/>
                <w:szCs w:val="21"/>
              </w:rPr>
            </w:pPr>
            <w:r>
              <w:rPr>
                <w:rFonts w:hint="eastAsia"/>
                <w:szCs w:val="21"/>
              </w:rPr>
              <w:t>江苏玖清玖蓝环保科技有限公司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tcBorders>
              <w:top w:val="single" w:color="auto" w:sz="6" w:space="0"/>
              <w:bottom w:val="single" w:color="auto" w:sz="6" w:space="0"/>
            </w:tcBorders>
            <w:shd w:val="clear" w:color="auto" w:fill="auto"/>
            <w:vAlign w:val="center"/>
          </w:tcPr>
          <w:p>
            <w:pPr>
              <w:spacing w:beforeLines="20" w:afterLines="20" w:line="0" w:lineRule="atLeast"/>
              <w:jc w:val="center"/>
              <w:rPr>
                <w:szCs w:val="21"/>
              </w:rPr>
            </w:pPr>
            <w:r>
              <w:rPr>
                <w:rFonts w:hint="eastAsia"/>
                <w:szCs w:val="21"/>
              </w:rPr>
              <w:t>初步设计单位</w:t>
            </w:r>
          </w:p>
        </w:tc>
        <w:tc>
          <w:tcPr>
            <w:tcW w:w="4010" w:type="pct"/>
            <w:gridSpan w:val="5"/>
            <w:tcBorders>
              <w:top w:val="single" w:color="auto" w:sz="6" w:space="0"/>
              <w:bottom w:val="single" w:color="auto" w:sz="6" w:space="0"/>
            </w:tcBorders>
            <w:shd w:val="clear" w:color="auto" w:fill="auto"/>
            <w:vAlign w:val="center"/>
          </w:tcPr>
          <w:p>
            <w:pPr>
              <w:spacing w:before="20" w:after="20" w:line="0" w:lineRule="atLeast"/>
              <w:jc w:val="center"/>
              <w:rPr>
                <w:color w:val="000000"/>
                <w:szCs w:val="21"/>
              </w:rPr>
            </w:pPr>
            <w:r>
              <w:rPr>
                <w:rFonts w:hint="eastAsia"/>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tcBorders>
              <w:top w:val="single" w:color="auto" w:sz="6" w:space="0"/>
            </w:tcBorders>
            <w:vAlign w:val="center"/>
          </w:tcPr>
          <w:p>
            <w:pPr>
              <w:spacing w:before="20" w:after="20" w:line="0" w:lineRule="atLeast"/>
              <w:jc w:val="center"/>
              <w:rPr>
                <w:szCs w:val="21"/>
              </w:rPr>
            </w:pPr>
            <w:r>
              <w:rPr>
                <w:rFonts w:hint="eastAsia"/>
                <w:szCs w:val="21"/>
              </w:rPr>
              <w:t>环评审批部门</w:t>
            </w:r>
          </w:p>
        </w:tc>
        <w:tc>
          <w:tcPr>
            <w:tcW w:w="1653" w:type="pct"/>
            <w:gridSpan w:val="2"/>
            <w:tcBorders>
              <w:top w:val="single" w:color="auto" w:sz="6" w:space="0"/>
            </w:tcBorders>
            <w:vAlign w:val="center"/>
          </w:tcPr>
          <w:p>
            <w:pPr>
              <w:jc w:val="center"/>
              <w:rPr>
                <w:color w:val="000000" w:themeColor="text1"/>
                <w:szCs w:val="21"/>
              </w:rPr>
            </w:pPr>
            <w:r>
              <w:rPr>
                <w:rFonts w:hint="eastAsia"/>
                <w:szCs w:val="21"/>
              </w:rPr>
              <w:t>徐州市生态环境局</w:t>
            </w:r>
          </w:p>
        </w:tc>
        <w:tc>
          <w:tcPr>
            <w:tcW w:w="894" w:type="pct"/>
            <w:tcBorders>
              <w:top w:val="single" w:color="auto" w:sz="6" w:space="0"/>
            </w:tcBorders>
            <w:vAlign w:val="center"/>
          </w:tcPr>
          <w:p>
            <w:pPr>
              <w:jc w:val="center"/>
              <w:rPr>
                <w:color w:val="000000" w:themeColor="text1"/>
                <w:szCs w:val="21"/>
              </w:rPr>
            </w:pPr>
            <w:r>
              <w:rPr>
                <w:rFonts w:hint="eastAsia"/>
                <w:color w:val="000000" w:themeColor="text1"/>
                <w:szCs w:val="21"/>
              </w:rPr>
              <w:t>审批文号及时间</w:t>
            </w:r>
          </w:p>
        </w:tc>
        <w:tc>
          <w:tcPr>
            <w:tcW w:w="1463" w:type="pct"/>
            <w:gridSpan w:val="2"/>
            <w:tcBorders>
              <w:top w:val="single" w:color="auto" w:sz="6" w:space="0"/>
            </w:tcBorders>
            <w:vAlign w:val="center"/>
          </w:tcPr>
          <w:p>
            <w:pPr>
              <w:jc w:val="center"/>
              <w:rPr>
                <w:color w:val="000000" w:themeColor="text1"/>
                <w:szCs w:val="21"/>
              </w:rPr>
            </w:pPr>
            <w:r>
              <w:rPr>
                <w:rFonts w:hint="eastAsia"/>
                <w:color w:val="000000" w:themeColor="text1"/>
                <w:szCs w:val="21"/>
              </w:rPr>
              <w:t>徐环辐（表）审[2020]029号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vAlign w:val="center"/>
          </w:tcPr>
          <w:p>
            <w:pPr>
              <w:spacing w:before="20" w:after="20" w:line="0" w:lineRule="atLeast"/>
              <w:jc w:val="center"/>
              <w:rPr>
                <w:szCs w:val="21"/>
              </w:rPr>
            </w:pPr>
            <w:r>
              <w:rPr>
                <w:rFonts w:hint="eastAsia"/>
                <w:szCs w:val="21"/>
              </w:rPr>
              <w:t>初步设计审批部门</w:t>
            </w:r>
          </w:p>
        </w:tc>
        <w:tc>
          <w:tcPr>
            <w:tcW w:w="1653" w:type="pct"/>
            <w:gridSpan w:val="2"/>
            <w:vAlign w:val="center"/>
          </w:tcPr>
          <w:p>
            <w:pPr>
              <w:jc w:val="center"/>
              <w:rPr>
                <w:color w:val="000000" w:themeColor="text1"/>
              </w:rPr>
            </w:pPr>
            <w:r>
              <w:rPr>
                <w:rFonts w:hint="eastAsia"/>
                <w:color w:val="000000" w:themeColor="text1"/>
              </w:rPr>
              <w:t>/</w:t>
            </w:r>
          </w:p>
        </w:tc>
        <w:tc>
          <w:tcPr>
            <w:tcW w:w="894" w:type="pct"/>
            <w:vAlign w:val="center"/>
          </w:tcPr>
          <w:p>
            <w:pPr>
              <w:jc w:val="center"/>
              <w:rPr>
                <w:color w:val="000000" w:themeColor="text1"/>
              </w:rPr>
            </w:pPr>
            <w:r>
              <w:rPr>
                <w:rFonts w:hint="eastAsia"/>
                <w:color w:val="000000" w:themeColor="text1"/>
              </w:rPr>
              <w:t>审批文号及时间</w:t>
            </w:r>
          </w:p>
        </w:tc>
        <w:tc>
          <w:tcPr>
            <w:tcW w:w="1463" w:type="pct"/>
            <w:gridSpan w:val="2"/>
            <w:vAlign w:val="center"/>
          </w:tcPr>
          <w:p>
            <w:pPr>
              <w:jc w:val="center"/>
              <w:rPr>
                <w:color w:val="000000" w:themeColor="text1"/>
              </w:rPr>
            </w:pPr>
            <w:r>
              <w:rPr>
                <w:rFonts w:hint="eastAsia"/>
                <w:color w:val="000000" w:themeColor="text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vAlign w:val="center"/>
          </w:tcPr>
          <w:p>
            <w:pPr>
              <w:jc w:val="center"/>
              <w:rPr>
                <w:szCs w:val="21"/>
              </w:rPr>
            </w:pPr>
            <w:r>
              <w:rPr>
                <w:rFonts w:hint="eastAsia"/>
                <w:szCs w:val="21"/>
              </w:rPr>
              <w:t>环境保护设计单位</w:t>
            </w:r>
          </w:p>
        </w:tc>
        <w:tc>
          <w:tcPr>
            <w:tcW w:w="1653" w:type="pct"/>
            <w:gridSpan w:val="2"/>
            <w:vAlign w:val="center"/>
          </w:tcPr>
          <w:p>
            <w:pPr>
              <w:jc w:val="center"/>
              <w:rPr>
                <w:color w:val="000000" w:themeColor="text1"/>
              </w:rPr>
            </w:pPr>
            <w:r>
              <w:rPr>
                <w:rFonts w:hint="eastAsia"/>
                <w:color w:val="000000" w:themeColor="text1"/>
              </w:rPr>
              <w:t>/</w:t>
            </w:r>
          </w:p>
        </w:tc>
        <w:tc>
          <w:tcPr>
            <w:tcW w:w="894" w:type="pct"/>
            <w:vAlign w:val="center"/>
          </w:tcPr>
          <w:p>
            <w:pPr>
              <w:jc w:val="center"/>
              <w:rPr>
                <w:color w:val="000000" w:themeColor="text1"/>
              </w:rPr>
            </w:pPr>
            <w:r>
              <w:rPr>
                <w:rFonts w:hint="eastAsia"/>
                <w:color w:val="000000" w:themeColor="text1"/>
              </w:rPr>
              <w:t>环境保护设施施工单位</w:t>
            </w:r>
          </w:p>
        </w:tc>
        <w:tc>
          <w:tcPr>
            <w:tcW w:w="1463" w:type="pct"/>
            <w:gridSpan w:val="2"/>
            <w:vAlign w:val="center"/>
          </w:tcPr>
          <w:p>
            <w:pPr>
              <w:jc w:val="center"/>
              <w:rPr>
                <w:color w:val="000000" w:themeColor="text1"/>
              </w:rPr>
            </w:pPr>
            <w:r>
              <w:rPr>
                <w:rFonts w:hint="eastAsia"/>
                <w:color w:val="000000" w:themeColor="text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vAlign w:val="center"/>
          </w:tcPr>
          <w:p>
            <w:pPr>
              <w:jc w:val="center"/>
              <w:rPr>
                <w:szCs w:val="21"/>
              </w:rPr>
            </w:pPr>
            <w:r>
              <w:rPr>
                <w:rFonts w:hint="eastAsia"/>
                <w:szCs w:val="21"/>
              </w:rPr>
              <w:t>验收调查单位</w:t>
            </w:r>
          </w:p>
        </w:tc>
        <w:tc>
          <w:tcPr>
            <w:tcW w:w="1653" w:type="pct"/>
            <w:gridSpan w:val="2"/>
            <w:vAlign w:val="center"/>
          </w:tcPr>
          <w:p>
            <w:pPr>
              <w:jc w:val="center"/>
              <w:rPr>
                <w:color w:val="FF0000"/>
                <w:szCs w:val="21"/>
              </w:rPr>
            </w:pPr>
            <w:r>
              <w:rPr>
                <w:rFonts w:hint="eastAsia"/>
                <w:szCs w:val="21"/>
              </w:rPr>
              <w:t>华润新能源（睢宁）有限公司</w:t>
            </w:r>
          </w:p>
        </w:tc>
        <w:tc>
          <w:tcPr>
            <w:tcW w:w="894" w:type="pct"/>
            <w:vAlign w:val="center"/>
          </w:tcPr>
          <w:p>
            <w:pPr>
              <w:jc w:val="center"/>
              <w:rPr>
                <w:color w:val="000000" w:themeColor="text1"/>
                <w:szCs w:val="21"/>
              </w:rPr>
            </w:pPr>
            <w:r>
              <w:rPr>
                <w:rFonts w:hint="eastAsia"/>
                <w:color w:val="000000" w:themeColor="text1"/>
                <w:szCs w:val="21"/>
              </w:rPr>
              <w:t>调查日期</w:t>
            </w:r>
          </w:p>
        </w:tc>
        <w:tc>
          <w:tcPr>
            <w:tcW w:w="1463" w:type="pct"/>
            <w:gridSpan w:val="2"/>
            <w:vAlign w:val="center"/>
          </w:tcPr>
          <w:p>
            <w:pPr>
              <w:jc w:val="center"/>
              <w:rPr>
                <w:color w:val="FF0000"/>
                <w:szCs w:val="21"/>
              </w:rPr>
            </w:pPr>
            <w:r>
              <w:rPr>
                <w:rFonts w:hint="eastAsia"/>
                <w:color w:val="auto"/>
                <w:szCs w:val="21"/>
              </w:rPr>
              <w:t>2020年1</w:t>
            </w:r>
            <w:r>
              <w:rPr>
                <w:rFonts w:hint="eastAsia"/>
                <w:color w:val="auto"/>
                <w:szCs w:val="21"/>
                <w:lang w:val="en-US" w:eastAsia="zh-CN"/>
              </w:rPr>
              <w:t>1</w:t>
            </w:r>
            <w:r>
              <w:rPr>
                <w:rFonts w:hint="eastAsia"/>
                <w:color w:val="auto"/>
                <w:szCs w:val="21"/>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vAlign w:val="center"/>
          </w:tcPr>
          <w:p>
            <w:pPr>
              <w:jc w:val="center"/>
              <w:rPr>
                <w:color w:val="000000" w:themeColor="text1"/>
                <w:szCs w:val="21"/>
              </w:rPr>
            </w:pPr>
            <w:r>
              <w:rPr>
                <w:rFonts w:hint="eastAsia"/>
                <w:color w:val="000000" w:themeColor="text1"/>
                <w:szCs w:val="21"/>
              </w:rPr>
              <w:t>设计生产规模</w:t>
            </w:r>
          </w:p>
        </w:tc>
        <w:tc>
          <w:tcPr>
            <w:tcW w:w="1653" w:type="pct"/>
            <w:gridSpan w:val="2"/>
            <w:vAlign w:val="center"/>
          </w:tcPr>
          <w:p>
            <w:pPr>
              <w:jc w:val="center"/>
              <w:rPr>
                <w:color w:val="000000" w:themeColor="text1"/>
                <w:szCs w:val="21"/>
              </w:rPr>
            </w:pPr>
            <w:r>
              <w:rPr>
                <w:rFonts w:hint="eastAsia"/>
                <w:color w:val="000000" w:themeColor="text1"/>
                <w:szCs w:val="21"/>
              </w:rPr>
              <w:t>主变容量50MVA</w:t>
            </w:r>
          </w:p>
        </w:tc>
        <w:tc>
          <w:tcPr>
            <w:tcW w:w="894" w:type="pct"/>
            <w:vAlign w:val="center"/>
          </w:tcPr>
          <w:p>
            <w:pPr>
              <w:jc w:val="center"/>
              <w:rPr>
                <w:szCs w:val="21"/>
              </w:rPr>
            </w:pPr>
            <w:r>
              <w:rPr>
                <w:rFonts w:hint="eastAsia"/>
                <w:szCs w:val="21"/>
              </w:rPr>
              <w:t>建设项目开工日期</w:t>
            </w:r>
          </w:p>
        </w:tc>
        <w:tc>
          <w:tcPr>
            <w:tcW w:w="1463" w:type="pct"/>
            <w:gridSpan w:val="2"/>
            <w:vAlign w:val="center"/>
          </w:tcPr>
          <w:p>
            <w:pPr>
              <w:jc w:val="center"/>
              <w:rPr>
                <w:szCs w:val="21"/>
              </w:rPr>
            </w:pPr>
            <w:r>
              <w:rPr>
                <w:rFonts w:hint="eastAsia"/>
                <w:szCs w:val="21"/>
              </w:rPr>
              <w:t>2020年8月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vAlign w:val="center"/>
          </w:tcPr>
          <w:p>
            <w:pPr>
              <w:jc w:val="center"/>
              <w:rPr>
                <w:szCs w:val="21"/>
              </w:rPr>
            </w:pPr>
            <w:r>
              <w:rPr>
                <w:rFonts w:hint="eastAsia"/>
                <w:szCs w:val="21"/>
              </w:rPr>
              <w:t>实际生产规模</w:t>
            </w:r>
          </w:p>
        </w:tc>
        <w:tc>
          <w:tcPr>
            <w:tcW w:w="1653" w:type="pct"/>
            <w:gridSpan w:val="2"/>
            <w:vAlign w:val="center"/>
          </w:tcPr>
          <w:p>
            <w:pPr>
              <w:jc w:val="center"/>
              <w:rPr>
                <w:szCs w:val="21"/>
              </w:rPr>
            </w:pPr>
            <w:r>
              <w:rPr>
                <w:rFonts w:hint="eastAsia"/>
                <w:color w:val="000000" w:themeColor="text1"/>
                <w:szCs w:val="21"/>
              </w:rPr>
              <w:t>主变容量50MVA</w:t>
            </w:r>
          </w:p>
        </w:tc>
        <w:tc>
          <w:tcPr>
            <w:tcW w:w="894" w:type="pct"/>
            <w:vAlign w:val="center"/>
          </w:tcPr>
          <w:p>
            <w:pPr>
              <w:jc w:val="center"/>
              <w:rPr>
                <w:szCs w:val="21"/>
              </w:rPr>
            </w:pPr>
            <w:r>
              <w:rPr>
                <w:rFonts w:hint="eastAsia"/>
                <w:szCs w:val="21"/>
              </w:rPr>
              <w:t>调试日期</w:t>
            </w:r>
          </w:p>
        </w:tc>
        <w:tc>
          <w:tcPr>
            <w:tcW w:w="1463" w:type="pct"/>
            <w:gridSpan w:val="2"/>
            <w:vAlign w:val="center"/>
          </w:tcPr>
          <w:p>
            <w:pPr>
              <w:pStyle w:val="46"/>
              <w:widowControl w:val="0"/>
              <w:pBdr>
                <w:bottom w:val="none" w:color="auto" w:sz="0" w:space="0"/>
              </w:pBdr>
              <w:spacing w:before="0" w:after="0"/>
              <w:rPr>
                <w:rFonts w:ascii="Times New Roman" w:hAnsi="Times New Roman"/>
                <w:kern w:val="2"/>
                <w:szCs w:val="21"/>
              </w:rPr>
            </w:pPr>
            <w:r>
              <w:rPr>
                <w:rFonts w:hint="eastAsia" w:ascii="Times New Roman" w:hAnsi="Times New Roman"/>
                <w:kern w:val="2"/>
                <w:szCs w:val="21"/>
              </w:rPr>
              <w:t>2021年12月23日－12月26日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vAlign w:val="center"/>
          </w:tcPr>
          <w:p>
            <w:pPr>
              <w:jc w:val="center"/>
              <w:rPr>
                <w:szCs w:val="21"/>
              </w:rPr>
            </w:pPr>
            <w:r>
              <w:rPr>
                <w:rFonts w:hint="eastAsia"/>
                <w:szCs w:val="21"/>
              </w:rPr>
              <w:t>验收调查期间生产规模</w:t>
            </w:r>
          </w:p>
        </w:tc>
        <w:tc>
          <w:tcPr>
            <w:tcW w:w="1653" w:type="pct"/>
            <w:gridSpan w:val="2"/>
            <w:vAlign w:val="center"/>
          </w:tcPr>
          <w:p>
            <w:pPr>
              <w:jc w:val="center"/>
              <w:rPr>
                <w:szCs w:val="21"/>
              </w:rPr>
            </w:pPr>
            <w:r>
              <w:rPr>
                <w:rFonts w:hint="eastAsia"/>
                <w:color w:val="000000" w:themeColor="text1"/>
                <w:szCs w:val="21"/>
              </w:rPr>
              <w:t>正常工况</w:t>
            </w:r>
          </w:p>
        </w:tc>
        <w:tc>
          <w:tcPr>
            <w:tcW w:w="894" w:type="pct"/>
            <w:vAlign w:val="center"/>
          </w:tcPr>
          <w:p>
            <w:pPr>
              <w:jc w:val="center"/>
              <w:rPr>
                <w:szCs w:val="21"/>
              </w:rPr>
            </w:pPr>
            <w:r>
              <w:rPr>
                <w:rFonts w:hint="eastAsia"/>
                <w:szCs w:val="21"/>
              </w:rPr>
              <w:t>验收工况负荷</w:t>
            </w:r>
          </w:p>
        </w:tc>
        <w:tc>
          <w:tcPr>
            <w:tcW w:w="1463" w:type="pct"/>
            <w:gridSpan w:val="2"/>
            <w:vAlign w:val="center"/>
          </w:tcPr>
          <w:p>
            <w:pPr>
              <w:pStyle w:val="46"/>
              <w:widowControl w:val="0"/>
              <w:pBdr>
                <w:bottom w:val="none" w:color="auto" w:sz="0" w:space="0"/>
              </w:pBdr>
              <w:spacing w:before="0" w:after="0"/>
              <w:rPr>
                <w:rFonts w:ascii="Times New Roman" w:hAnsi="Times New Roman"/>
                <w:kern w:val="2"/>
                <w:szCs w:val="21"/>
              </w:rPr>
            </w:pPr>
            <w:r>
              <w:rPr>
                <w:rFonts w:hint="eastAsia" w:ascii="Times New Roman" w:hAnsi="Times New Roman"/>
                <w:kern w:val="2"/>
                <w:szCs w:val="21"/>
              </w:rPr>
              <w:t>正常工况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vAlign w:val="center"/>
          </w:tcPr>
          <w:p>
            <w:pPr>
              <w:jc w:val="center"/>
              <w:rPr>
                <w:color w:val="000000"/>
                <w:szCs w:val="21"/>
              </w:rPr>
            </w:pPr>
            <w:r>
              <w:rPr>
                <w:color w:val="000000"/>
                <w:szCs w:val="21"/>
              </w:rPr>
              <w:t>投资总概算</w:t>
            </w:r>
          </w:p>
        </w:tc>
        <w:tc>
          <w:tcPr>
            <w:tcW w:w="860" w:type="pct"/>
            <w:vAlign w:val="center"/>
          </w:tcPr>
          <w:p>
            <w:pPr>
              <w:spacing w:before="20" w:after="20" w:line="0" w:lineRule="atLeast"/>
              <w:jc w:val="center"/>
              <w:rPr>
                <w:szCs w:val="21"/>
              </w:rPr>
            </w:pPr>
            <w:r>
              <w:rPr>
                <w:rFonts w:hint="eastAsia"/>
                <w:szCs w:val="21"/>
              </w:rPr>
              <w:t>2781.4万元</w:t>
            </w:r>
          </w:p>
        </w:tc>
        <w:tc>
          <w:tcPr>
            <w:tcW w:w="792" w:type="pct"/>
            <w:vAlign w:val="center"/>
          </w:tcPr>
          <w:p>
            <w:pPr>
              <w:jc w:val="center"/>
              <w:rPr>
                <w:color w:val="000000"/>
                <w:szCs w:val="21"/>
              </w:rPr>
            </w:pPr>
            <w:r>
              <w:rPr>
                <w:color w:val="000000"/>
                <w:szCs w:val="21"/>
              </w:rPr>
              <w:t>环保投资总概算</w:t>
            </w:r>
          </w:p>
        </w:tc>
        <w:tc>
          <w:tcPr>
            <w:tcW w:w="894" w:type="pct"/>
            <w:vAlign w:val="center"/>
          </w:tcPr>
          <w:p>
            <w:pPr>
              <w:spacing w:before="20" w:after="20" w:line="0" w:lineRule="atLeast"/>
              <w:jc w:val="center"/>
              <w:rPr>
                <w:szCs w:val="21"/>
              </w:rPr>
            </w:pPr>
            <w:r>
              <w:rPr>
                <w:rFonts w:hint="eastAsia"/>
                <w:szCs w:val="21"/>
              </w:rPr>
              <w:t>38万元</w:t>
            </w:r>
          </w:p>
        </w:tc>
        <w:tc>
          <w:tcPr>
            <w:tcW w:w="650" w:type="pct"/>
            <w:vAlign w:val="center"/>
          </w:tcPr>
          <w:p>
            <w:pPr>
              <w:jc w:val="center"/>
              <w:rPr>
                <w:color w:val="000000"/>
                <w:szCs w:val="21"/>
              </w:rPr>
            </w:pPr>
            <w:r>
              <w:rPr>
                <w:color w:val="000000"/>
                <w:szCs w:val="21"/>
              </w:rPr>
              <w:t>比例</w:t>
            </w:r>
          </w:p>
        </w:tc>
        <w:tc>
          <w:tcPr>
            <w:tcW w:w="813" w:type="pct"/>
            <w:vAlign w:val="center"/>
          </w:tcPr>
          <w:p>
            <w:pPr>
              <w:spacing w:before="20" w:after="20" w:line="0" w:lineRule="atLeast"/>
              <w:jc w:val="center"/>
              <w:rPr>
                <w:szCs w:val="21"/>
              </w:rPr>
            </w:pPr>
            <w:r>
              <w:rPr>
                <w:rFonts w:hint="eastAsia"/>
                <w:szCs w:val="21"/>
              </w:rPr>
              <w:t>1.37%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9" w:type="pct"/>
            <w:vAlign w:val="center"/>
          </w:tcPr>
          <w:p>
            <w:pPr>
              <w:jc w:val="center"/>
              <w:rPr>
                <w:color w:val="000000"/>
                <w:szCs w:val="21"/>
              </w:rPr>
            </w:pPr>
            <w:r>
              <w:rPr>
                <w:color w:val="000000"/>
                <w:szCs w:val="21"/>
              </w:rPr>
              <w:t>实际总投资</w:t>
            </w:r>
          </w:p>
        </w:tc>
        <w:tc>
          <w:tcPr>
            <w:tcW w:w="860" w:type="pct"/>
            <w:vAlign w:val="center"/>
          </w:tcPr>
          <w:p>
            <w:pPr>
              <w:jc w:val="center"/>
              <w:rPr>
                <w:szCs w:val="21"/>
              </w:rPr>
            </w:pPr>
            <w:r>
              <w:rPr>
                <w:rFonts w:hint="eastAsia"/>
                <w:szCs w:val="21"/>
              </w:rPr>
              <w:t>2781.4万元</w:t>
            </w:r>
          </w:p>
        </w:tc>
        <w:tc>
          <w:tcPr>
            <w:tcW w:w="792" w:type="pct"/>
            <w:vAlign w:val="center"/>
          </w:tcPr>
          <w:p>
            <w:pPr>
              <w:jc w:val="center"/>
              <w:rPr>
                <w:szCs w:val="21"/>
              </w:rPr>
            </w:pPr>
            <w:r>
              <w:rPr>
                <w:szCs w:val="21"/>
              </w:rPr>
              <w:t>实际环保投资</w:t>
            </w:r>
          </w:p>
        </w:tc>
        <w:tc>
          <w:tcPr>
            <w:tcW w:w="894" w:type="pct"/>
            <w:vAlign w:val="center"/>
          </w:tcPr>
          <w:p>
            <w:pPr>
              <w:spacing w:before="20" w:after="20" w:line="0" w:lineRule="atLeast"/>
              <w:jc w:val="center"/>
              <w:rPr>
                <w:szCs w:val="21"/>
              </w:rPr>
            </w:pPr>
            <w:r>
              <w:rPr>
                <w:rFonts w:hint="eastAsia"/>
                <w:szCs w:val="21"/>
              </w:rPr>
              <w:t>38万元</w:t>
            </w:r>
          </w:p>
        </w:tc>
        <w:tc>
          <w:tcPr>
            <w:tcW w:w="650" w:type="pct"/>
            <w:vAlign w:val="center"/>
          </w:tcPr>
          <w:p>
            <w:pPr>
              <w:jc w:val="center"/>
              <w:rPr>
                <w:szCs w:val="21"/>
              </w:rPr>
            </w:pPr>
            <w:r>
              <w:rPr>
                <w:szCs w:val="21"/>
              </w:rPr>
              <w:t>比例</w:t>
            </w:r>
          </w:p>
        </w:tc>
        <w:tc>
          <w:tcPr>
            <w:tcW w:w="813" w:type="pct"/>
            <w:vAlign w:val="center"/>
          </w:tcPr>
          <w:p>
            <w:pPr>
              <w:spacing w:before="20" w:after="20" w:line="0" w:lineRule="atLeast"/>
              <w:jc w:val="center"/>
              <w:rPr>
                <w:szCs w:val="21"/>
              </w:rPr>
            </w:pPr>
            <w:r>
              <w:rPr>
                <w:rFonts w:hint="eastAsia"/>
                <w:szCs w:val="21"/>
              </w:rPr>
              <w:t>1.37%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 w:hRule="atLeast"/>
          <w:jc w:val="center"/>
        </w:trPr>
        <w:tc>
          <w:tcPr>
            <w:tcW w:w="989" w:type="pct"/>
            <w:vAlign w:val="center"/>
          </w:tcPr>
          <w:p>
            <w:pPr>
              <w:spacing w:beforeLines="20" w:afterLines="20" w:line="0" w:lineRule="atLeast"/>
              <w:rPr>
                <w:szCs w:val="21"/>
              </w:rPr>
            </w:pPr>
            <w:r>
              <w:rPr>
                <w:rFonts w:hint="eastAsia"/>
                <w:szCs w:val="21"/>
              </w:rPr>
              <w:t>项目建设过程简述（项目立项－调试）</w:t>
            </w:r>
          </w:p>
        </w:tc>
        <w:tc>
          <w:tcPr>
            <w:tcW w:w="4010" w:type="pct"/>
            <w:gridSpan w:val="5"/>
          </w:tcPr>
          <w:p>
            <w:pPr>
              <w:spacing w:before="207" w:line="416" w:lineRule="auto"/>
              <w:ind w:left="118" w:right="102" w:firstLine="409"/>
              <w:rPr>
                <w:rFonts w:ascii="宋体" w:hAnsi="宋体" w:cs="宋体"/>
                <w:szCs w:val="21"/>
              </w:rPr>
            </w:pPr>
            <w:r>
              <w:rPr>
                <w:rFonts w:hint="eastAsia"/>
                <w:spacing w:val="-2"/>
                <w:szCs w:val="21"/>
              </w:rPr>
              <w:t>2020</w:t>
            </w:r>
            <w:r>
              <w:rPr>
                <w:rFonts w:ascii="宋体" w:hAnsi="宋体" w:cs="宋体"/>
                <w:spacing w:val="-2"/>
                <w:szCs w:val="21"/>
              </w:rPr>
              <w:t>年</w:t>
            </w:r>
            <w:r>
              <w:rPr>
                <w:rFonts w:hint="eastAsia" w:ascii="宋体" w:hAnsi="宋体" w:cs="宋体"/>
                <w:spacing w:val="-44"/>
                <w:szCs w:val="21"/>
              </w:rPr>
              <w:t>4</w:t>
            </w:r>
            <w:r>
              <w:rPr>
                <w:rFonts w:ascii="宋体" w:hAnsi="宋体" w:cs="宋体"/>
                <w:spacing w:val="-2"/>
                <w:szCs w:val="21"/>
              </w:rPr>
              <w:t>月徐州市发展和改革委员会出具《</w:t>
            </w:r>
            <w:r>
              <w:rPr>
                <w:rFonts w:hint="eastAsia" w:ascii="宋体" w:hAnsi="宋体" w:cs="宋体"/>
                <w:spacing w:val="-2"/>
                <w:szCs w:val="21"/>
              </w:rPr>
              <w:t>市发展改革关于同意变更华润新能源（睢宁）有限公司一期风电项目建设内容的批复</w:t>
            </w:r>
            <w:r>
              <w:rPr>
                <w:rFonts w:ascii="宋体" w:hAnsi="宋体" w:cs="宋体"/>
                <w:spacing w:val="-6"/>
                <w:szCs w:val="21"/>
              </w:rPr>
              <w:t>》（</w:t>
            </w:r>
            <w:r>
              <w:rPr>
                <w:rFonts w:hint="eastAsia" w:ascii="宋体" w:hAnsi="宋体" w:cs="宋体"/>
                <w:spacing w:val="-6"/>
                <w:szCs w:val="21"/>
              </w:rPr>
              <w:t>徐发改核发[2020〕6号</w:t>
            </w:r>
            <w:r>
              <w:rPr>
                <w:rFonts w:ascii="宋体" w:hAnsi="宋体" w:cs="宋体"/>
                <w:spacing w:val="-58"/>
                <w:szCs w:val="21"/>
              </w:rPr>
              <w:t>），</w:t>
            </w:r>
            <w:r>
              <w:rPr>
                <w:rFonts w:ascii="宋体" w:hAnsi="宋体" w:cs="宋体"/>
                <w:spacing w:val="-1"/>
                <w:szCs w:val="21"/>
              </w:rPr>
              <w:t>准许本项目实施。</w:t>
            </w:r>
          </w:p>
          <w:p>
            <w:pPr>
              <w:spacing w:line="416" w:lineRule="auto"/>
              <w:ind w:left="113" w:right="45" w:firstLine="414"/>
              <w:rPr>
                <w:rFonts w:ascii="宋体" w:hAnsi="宋体" w:cs="宋体"/>
                <w:spacing w:val="-8"/>
                <w:szCs w:val="21"/>
              </w:rPr>
            </w:pPr>
            <w:r>
              <w:rPr>
                <w:rFonts w:hint="eastAsia"/>
                <w:spacing w:val="-4"/>
                <w:szCs w:val="21"/>
              </w:rPr>
              <w:t>2020</w:t>
            </w:r>
            <w:r>
              <w:rPr>
                <w:rFonts w:ascii="宋体" w:hAnsi="宋体" w:cs="宋体"/>
                <w:spacing w:val="-4"/>
                <w:szCs w:val="21"/>
              </w:rPr>
              <w:t>年</w:t>
            </w:r>
            <w:r>
              <w:rPr>
                <w:rFonts w:hint="eastAsia" w:ascii="宋体" w:hAnsi="宋体" w:cs="宋体"/>
                <w:spacing w:val="-33"/>
                <w:szCs w:val="21"/>
              </w:rPr>
              <w:t>7</w:t>
            </w:r>
            <w:r>
              <w:rPr>
                <w:rFonts w:ascii="宋体" w:hAnsi="宋体" w:cs="宋体"/>
                <w:spacing w:val="-4"/>
                <w:szCs w:val="21"/>
              </w:rPr>
              <w:t>月</w:t>
            </w:r>
            <w:r>
              <w:rPr>
                <w:rFonts w:hint="eastAsia" w:ascii="宋体" w:hAnsi="宋体" w:cs="宋体"/>
                <w:spacing w:val="-4"/>
                <w:szCs w:val="21"/>
              </w:rPr>
              <w:t>8日徐州市生态环境局对主体工程环评</w:t>
            </w:r>
            <w:r>
              <w:rPr>
                <w:rFonts w:ascii="宋体" w:hAnsi="宋体" w:cs="宋体"/>
                <w:spacing w:val="-4"/>
                <w:szCs w:val="21"/>
              </w:rPr>
              <w:t>报告表进行了审批，</w:t>
            </w:r>
            <w:r>
              <w:rPr>
                <w:rFonts w:ascii="宋体" w:hAnsi="宋体" w:cs="宋体"/>
                <w:spacing w:val="-1"/>
                <w:szCs w:val="21"/>
              </w:rPr>
              <w:t>《</w:t>
            </w:r>
            <w:r>
              <w:rPr>
                <w:rFonts w:hint="eastAsia" w:ascii="宋体" w:hAnsi="宋体" w:cs="宋体"/>
                <w:spacing w:val="-1"/>
                <w:szCs w:val="21"/>
              </w:rPr>
              <w:t>关于华润新能源（睢宁）有限公司睢宁县一期风电项目环境报告表</w:t>
            </w:r>
            <w:r>
              <w:rPr>
                <w:rFonts w:ascii="宋体" w:hAnsi="宋体" w:cs="宋体"/>
                <w:spacing w:val="-8"/>
                <w:szCs w:val="21"/>
              </w:rPr>
              <w:t>》（</w:t>
            </w:r>
            <w:r>
              <w:rPr>
                <w:rFonts w:hint="eastAsia" w:ascii="宋体" w:hAnsi="宋体" w:cs="宋体"/>
                <w:spacing w:val="-8"/>
                <w:szCs w:val="21"/>
              </w:rPr>
              <w:t>徐州市生态环境局</w:t>
            </w:r>
            <w:r>
              <w:rPr>
                <w:rFonts w:ascii="宋体" w:hAnsi="宋体" w:cs="宋体"/>
                <w:spacing w:val="-8"/>
                <w:szCs w:val="21"/>
              </w:rPr>
              <w:t>，</w:t>
            </w:r>
            <w:r>
              <w:rPr>
                <w:rFonts w:hint="eastAsia" w:ascii="宋体" w:hAnsi="宋体" w:cs="宋体"/>
                <w:spacing w:val="-8"/>
                <w:szCs w:val="21"/>
              </w:rPr>
              <w:t>徐睢环项表</w:t>
            </w:r>
            <w:r>
              <w:rPr>
                <w:rFonts w:eastAsia="Times New Roman"/>
                <w:spacing w:val="-8"/>
                <w:szCs w:val="21"/>
              </w:rPr>
              <w:t>[20</w:t>
            </w:r>
            <w:r>
              <w:rPr>
                <w:rFonts w:hint="eastAsia"/>
                <w:spacing w:val="-8"/>
                <w:szCs w:val="21"/>
              </w:rPr>
              <w:t>20</w:t>
            </w:r>
            <w:r>
              <w:rPr>
                <w:rFonts w:eastAsia="Times New Roman"/>
                <w:spacing w:val="-8"/>
                <w:szCs w:val="21"/>
              </w:rPr>
              <w:t>]</w:t>
            </w:r>
            <w:r>
              <w:rPr>
                <w:rFonts w:hint="eastAsia"/>
                <w:spacing w:val="-8"/>
                <w:szCs w:val="21"/>
              </w:rPr>
              <w:t>5</w:t>
            </w:r>
            <w:r>
              <w:rPr>
                <w:rFonts w:ascii="宋体" w:hAnsi="宋体" w:cs="宋体"/>
                <w:spacing w:val="-8"/>
                <w:szCs w:val="21"/>
              </w:rPr>
              <w:t>号）。</w:t>
            </w:r>
          </w:p>
          <w:p>
            <w:pPr>
              <w:spacing w:line="416" w:lineRule="auto"/>
              <w:ind w:left="113" w:right="45" w:firstLine="414"/>
              <w:rPr>
                <w:rFonts w:ascii="宋体" w:hAnsi="宋体" w:cs="宋体"/>
                <w:spacing w:val="-8"/>
                <w:szCs w:val="21"/>
              </w:rPr>
            </w:pPr>
            <w:r>
              <w:rPr>
                <w:rFonts w:hint="eastAsia"/>
                <w:spacing w:val="-4"/>
                <w:szCs w:val="21"/>
              </w:rPr>
              <w:t>2020</w:t>
            </w:r>
            <w:r>
              <w:rPr>
                <w:rFonts w:ascii="宋体" w:hAnsi="宋体" w:cs="宋体"/>
                <w:spacing w:val="-4"/>
                <w:szCs w:val="21"/>
              </w:rPr>
              <w:t>年</w:t>
            </w:r>
            <w:r>
              <w:rPr>
                <w:rFonts w:hint="eastAsia" w:ascii="宋体" w:hAnsi="宋体" w:cs="宋体"/>
                <w:spacing w:val="-33"/>
                <w:szCs w:val="21"/>
              </w:rPr>
              <w:t>8</w:t>
            </w:r>
            <w:r>
              <w:rPr>
                <w:rFonts w:ascii="宋体" w:hAnsi="宋体" w:cs="宋体"/>
                <w:spacing w:val="-4"/>
                <w:szCs w:val="21"/>
              </w:rPr>
              <w:t>月</w:t>
            </w:r>
            <w:r>
              <w:rPr>
                <w:rFonts w:hint="eastAsia" w:ascii="宋体" w:hAnsi="宋体" w:cs="宋体"/>
                <w:spacing w:val="-4"/>
                <w:szCs w:val="21"/>
              </w:rPr>
              <w:t>11日徐州市生态环境局对《华润新能源（睢宁）有限公司一期风电项目配套110kV升压站工程》环评</w:t>
            </w:r>
            <w:r>
              <w:rPr>
                <w:rFonts w:ascii="宋体" w:hAnsi="宋体" w:cs="宋体"/>
                <w:spacing w:val="-4"/>
                <w:szCs w:val="21"/>
              </w:rPr>
              <w:t>报告表进行了审批，</w:t>
            </w:r>
            <w:r>
              <w:rPr>
                <w:rFonts w:ascii="宋体" w:hAnsi="宋体" w:cs="宋体"/>
                <w:spacing w:val="-8"/>
                <w:szCs w:val="21"/>
              </w:rPr>
              <w:t>（</w:t>
            </w:r>
            <w:r>
              <w:rPr>
                <w:rFonts w:hint="eastAsia" w:ascii="宋体" w:hAnsi="宋体" w:cs="宋体"/>
                <w:spacing w:val="-8"/>
                <w:szCs w:val="21"/>
              </w:rPr>
              <w:t>徐州市生态环境局</w:t>
            </w:r>
            <w:r>
              <w:rPr>
                <w:rFonts w:ascii="宋体" w:hAnsi="宋体" w:cs="宋体"/>
                <w:spacing w:val="-8"/>
                <w:szCs w:val="21"/>
              </w:rPr>
              <w:t>，</w:t>
            </w:r>
            <w:r>
              <w:rPr>
                <w:rFonts w:hint="eastAsia" w:ascii="宋体" w:hAnsi="宋体" w:cs="宋体"/>
                <w:spacing w:val="-8"/>
                <w:szCs w:val="21"/>
              </w:rPr>
              <w:t>徐环辐（表）审</w:t>
            </w:r>
            <w:r>
              <w:rPr>
                <w:rFonts w:eastAsia="Times New Roman"/>
                <w:spacing w:val="-8"/>
                <w:szCs w:val="21"/>
              </w:rPr>
              <w:t>[20</w:t>
            </w:r>
            <w:r>
              <w:rPr>
                <w:rFonts w:hint="eastAsia"/>
                <w:spacing w:val="-8"/>
                <w:szCs w:val="21"/>
              </w:rPr>
              <w:t>20</w:t>
            </w:r>
            <w:r>
              <w:rPr>
                <w:rFonts w:eastAsia="Times New Roman"/>
                <w:spacing w:val="-8"/>
                <w:szCs w:val="21"/>
              </w:rPr>
              <w:t>]</w:t>
            </w:r>
            <w:r>
              <w:rPr>
                <w:rFonts w:hint="eastAsia"/>
                <w:spacing w:val="-8"/>
                <w:szCs w:val="21"/>
              </w:rPr>
              <w:t>029</w:t>
            </w:r>
            <w:r>
              <w:rPr>
                <w:rFonts w:ascii="宋体" w:hAnsi="宋体" w:cs="宋体"/>
                <w:spacing w:val="-8"/>
                <w:szCs w:val="21"/>
              </w:rPr>
              <w:t>号）。</w:t>
            </w:r>
          </w:p>
          <w:p>
            <w:pPr>
              <w:widowControl/>
              <w:spacing w:line="416" w:lineRule="auto"/>
              <w:ind w:firstLine="400" w:firstLineChars="200"/>
              <w:jc w:val="left"/>
              <w:rPr>
                <w:rFonts w:ascii="宋体" w:hAnsi="宋体" w:cs="宋体"/>
                <w:color w:val="000000"/>
                <w:kern w:val="0"/>
                <w:sz w:val="24"/>
              </w:rPr>
            </w:pPr>
            <w:r>
              <w:rPr>
                <w:rFonts w:eastAsia="Times New Roman"/>
                <w:color w:val="auto"/>
                <w:spacing w:val="-5"/>
                <w:szCs w:val="21"/>
              </w:rPr>
              <w:t>20</w:t>
            </w:r>
            <w:r>
              <w:rPr>
                <w:rFonts w:hint="eastAsia"/>
                <w:color w:val="auto"/>
                <w:spacing w:val="-5"/>
                <w:szCs w:val="21"/>
              </w:rPr>
              <w:t>20</w:t>
            </w:r>
            <w:r>
              <w:rPr>
                <w:rFonts w:ascii="宋体" w:hAnsi="宋体" w:cs="宋体"/>
                <w:color w:val="auto"/>
                <w:spacing w:val="-5"/>
                <w:szCs w:val="21"/>
              </w:rPr>
              <w:t>年</w:t>
            </w:r>
            <w:r>
              <w:rPr>
                <w:rFonts w:hint="eastAsia" w:ascii="宋体" w:hAnsi="宋体" w:cs="宋体"/>
                <w:color w:val="auto"/>
                <w:spacing w:val="-44"/>
                <w:szCs w:val="21"/>
                <w:lang w:val="en-US" w:eastAsia="zh-CN"/>
              </w:rPr>
              <w:t>11</w:t>
            </w:r>
            <w:r>
              <w:rPr>
                <w:rFonts w:ascii="宋体" w:hAnsi="宋体" w:cs="宋体"/>
                <w:color w:val="auto"/>
                <w:spacing w:val="-5"/>
                <w:szCs w:val="21"/>
              </w:rPr>
              <w:t>月</w:t>
            </w:r>
            <w:r>
              <w:rPr>
                <w:rFonts w:ascii="宋体" w:hAnsi="宋体" w:cs="宋体"/>
                <w:spacing w:val="-5"/>
                <w:szCs w:val="21"/>
              </w:rPr>
              <w:t>，</w:t>
            </w:r>
            <w:r>
              <w:rPr>
                <w:rFonts w:hint="eastAsia" w:ascii="宋体" w:hAnsi="宋体" w:cs="宋体"/>
                <w:spacing w:val="-5"/>
                <w:szCs w:val="21"/>
              </w:rPr>
              <w:t>华润新能源（睢宁 ）有限公司对</w:t>
            </w:r>
            <w:r>
              <w:rPr>
                <w:rFonts w:ascii="宋体" w:hAnsi="宋体" w:cs="宋体"/>
                <w:spacing w:val="1"/>
                <w:szCs w:val="21"/>
              </w:rPr>
              <w:t>该项目</w:t>
            </w:r>
            <w:r>
              <w:rPr>
                <w:rFonts w:ascii="宋体" w:hAnsi="宋体" w:cs="宋体"/>
                <w:spacing w:val="-1"/>
                <w:szCs w:val="21"/>
              </w:rPr>
              <w:t>实施竣工环境保护验收调查工作。</w:t>
            </w:r>
          </w:p>
          <w:p>
            <w:pPr>
              <w:widowControl/>
              <w:spacing w:line="416" w:lineRule="auto"/>
              <w:ind w:firstLine="480" w:firstLineChars="200"/>
              <w:jc w:val="left"/>
              <w:rPr>
                <w:rFonts w:ascii="宋体" w:hAnsi="宋体" w:cs="宋体"/>
                <w:color w:val="000000"/>
                <w:kern w:val="0"/>
                <w:sz w:val="24"/>
              </w:rPr>
            </w:pPr>
          </w:p>
          <w:p>
            <w:pPr>
              <w:widowControl/>
              <w:spacing w:line="416" w:lineRule="auto"/>
              <w:jc w:val="left"/>
              <w:rPr>
                <w:rFonts w:ascii="宋体" w:hAnsi="宋体" w:cs="宋体"/>
                <w:color w:val="000000"/>
                <w:kern w:val="0"/>
                <w:sz w:val="24"/>
              </w:rPr>
            </w:pPr>
          </w:p>
          <w:p>
            <w:pPr>
              <w:widowControl/>
              <w:spacing w:line="416" w:lineRule="auto"/>
              <w:ind w:firstLine="420" w:firstLineChars="200"/>
              <w:jc w:val="left"/>
            </w:pPr>
          </w:p>
        </w:tc>
      </w:tr>
    </w:tbl>
    <w:p>
      <w:pPr>
        <w:spacing w:before="248" w:line="185" w:lineRule="auto"/>
        <w:rPr>
          <w:rFonts w:asciiTheme="majorEastAsia" w:hAnsiTheme="majorEastAsia" w:eastAsiaTheme="majorEastAsia" w:cstheme="majorEastAsia"/>
          <w:spacing w:val="-3"/>
          <w:sz w:val="28"/>
          <w:szCs w:val="28"/>
        </w:rPr>
      </w:pPr>
      <w:bookmarkStart w:id="1" w:name="_Toc295831041"/>
      <w:bookmarkStart w:id="2" w:name="_Toc292707424"/>
    </w:p>
    <w:p>
      <w:pPr>
        <w:spacing w:line="360" w:lineRule="auto"/>
        <w:outlineLvl w:val="0"/>
        <w:rPr>
          <w:rFonts w:asciiTheme="majorEastAsia" w:hAnsiTheme="majorEastAsia" w:eastAsiaTheme="majorEastAsia" w:cstheme="majorEastAsia"/>
          <w:b/>
          <w:bCs/>
          <w:sz w:val="28"/>
          <w:szCs w:val="28"/>
        </w:rPr>
      </w:pPr>
      <w:bookmarkStart w:id="3" w:name="_Toc28090"/>
      <w:r>
        <w:rPr>
          <w:rFonts w:hint="eastAsia" w:asciiTheme="majorEastAsia" w:hAnsiTheme="majorEastAsia" w:eastAsiaTheme="majorEastAsia" w:cstheme="majorEastAsia"/>
          <w:b/>
          <w:bCs/>
          <w:spacing w:val="-3"/>
          <w:sz w:val="28"/>
          <w:szCs w:val="28"/>
        </w:rPr>
        <w:t>表二调查范围、因子、目标、重点</w:t>
      </w:r>
      <w:bookmarkEnd w:id="3"/>
    </w:p>
    <w:tbl>
      <w:tblPr>
        <w:tblStyle w:val="120"/>
        <w:tblW w:w="5011" w:type="pct"/>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1"/>
        <w:gridCol w:w="87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2" w:hRule="atLeast"/>
        </w:trPr>
        <w:tc>
          <w:tcPr>
            <w:tcW w:w="891" w:type="dxa"/>
            <w:tcBorders>
              <w:top w:val="single" w:color="000000" w:sz="2" w:space="0"/>
              <w:left w:val="single" w:color="000000" w:sz="2" w:space="0"/>
              <w:bottom w:val="single" w:color="000000" w:sz="2" w:space="0"/>
              <w:right w:val="single" w:color="000000" w:sz="2" w:space="0"/>
            </w:tcBorders>
            <w:vAlign w:val="center"/>
          </w:tcPr>
          <w:p>
            <w:pPr>
              <w:spacing w:line="250" w:lineRule="auto"/>
              <w:jc w:val="center"/>
              <w:rPr>
                <w:rFonts w:ascii="黑体"/>
                <w:szCs w:val="21"/>
              </w:rPr>
            </w:pPr>
          </w:p>
          <w:p>
            <w:pPr>
              <w:spacing w:line="250" w:lineRule="auto"/>
              <w:jc w:val="center"/>
              <w:rPr>
                <w:rFonts w:ascii="黑体"/>
                <w:szCs w:val="21"/>
              </w:rPr>
            </w:pPr>
          </w:p>
          <w:p>
            <w:pPr>
              <w:spacing w:line="251" w:lineRule="auto"/>
              <w:jc w:val="center"/>
              <w:rPr>
                <w:rFonts w:ascii="黑体"/>
                <w:szCs w:val="21"/>
              </w:rPr>
            </w:pPr>
          </w:p>
          <w:p>
            <w:pPr>
              <w:spacing w:before="68" w:line="314" w:lineRule="auto"/>
              <w:ind w:left="120" w:right="104" w:hanging="3"/>
              <w:jc w:val="center"/>
              <w:rPr>
                <w:rFonts w:ascii="宋体" w:hAnsi="宋体" w:cs="宋体"/>
                <w:szCs w:val="21"/>
              </w:rPr>
            </w:pPr>
            <w:r>
              <w:rPr>
                <w:rFonts w:ascii="宋体" w:hAnsi="宋体" w:cs="宋体"/>
                <w:spacing w:val="-4"/>
                <w:szCs w:val="21"/>
              </w:rPr>
              <w:t>调查</w:t>
            </w:r>
            <w:r>
              <w:rPr>
                <w:rFonts w:ascii="宋体" w:hAnsi="宋体" w:cs="宋体"/>
                <w:spacing w:val="-6"/>
                <w:szCs w:val="21"/>
              </w:rPr>
              <w:t>范围</w:t>
            </w:r>
          </w:p>
        </w:tc>
        <w:tc>
          <w:tcPr>
            <w:tcW w:w="8770" w:type="dxa"/>
            <w:tcBorders>
              <w:top w:val="single" w:color="000000" w:sz="2" w:space="0"/>
              <w:left w:val="single" w:color="000000" w:sz="2" w:space="0"/>
              <w:bottom w:val="single" w:color="000000" w:sz="2" w:space="0"/>
              <w:right w:val="single" w:color="000000" w:sz="2" w:space="0"/>
            </w:tcBorders>
          </w:tcPr>
          <w:p>
            <w:pPr>
              <w:spacing w:before="206" w:line="186" w:lineRule="auto"/>
              <w:ind w:firstLine="111"/>
              <w:rPr>
                <w:rFonts w:ascii="宋体" w:hAnsi="宋体" w:cs="宋体"/>
                <w:szCs w:val="21"/>
              </w:rPr>
            </w:pPr>
            <w:r>
              <w:rPr>
                <w:rFonts w:ascii="宋体" w:hAnsi="宋体" w:cs="宋体"/>
                <w:spacing w:val="-1"/>
                <w:szCs w:val="21"/>
              </w:rPr>
              <w:t>根据本工程环评报告表中的评价范围，确定验收调查范围如下：</w:t>
            </w:r>
          </w:p>
          <w:p>
            <w:pPr>
              <w:spacing w:before="206" w:line="186" w:lineRule="auto"/>
              <w:ind w:firstLine="111"/>
              <w:rPr>
                <w:rFonts w:ascii="宋体" w:hAnsi="宋体" w:cs="宋体"/>
                <w:spacing w:val="-1"/>
                <w:szCs w:val="21"/>
              </w:rPr>
            </w:pPr>
            <w:r>
              <w:rPr>
                <w:rFonts w:eastAsia="Times New Roman"/>
                <w:spacing w:val="-9"/>
                <w:szCs w:val="21"/>
              </w:rPr>
              <w:t>1</w:t>
            </w:r>
            <w:r>
              <w:rPr>
                <w:rFonts w:ascii="宋体" w:hAnsi="宋体" w:cs="宋体"/>
                <w:spacing w:val="-9"/>
                <w:szCs w:val="21"/>
              </w:rPr>
              <w:t>、</w:t>
            </w:r>
            <w:r>
              <w:rPr>
                <w:rFonts w:ascii="宋体" w:hAnsi="宋体" w:cs="宋体"/>
                <w:spacing w:val="-1"/>
                <w:szCs w:val="21"/>
              </w:rPr>
              <w:t xml:space="preserve"> 生态环境影响： 厂界围墙外100m范围内区域；</w:t>
            </w:r>
          </w:p>
          <w:p>
            <w:pPr>
              <w:spacing w:before="206" w:line="186" w:lineRule="auto"/>
              <w:ind w:firstLine="111"/>
              <w:rPr>
                <w:rFonts w:ascii="宋体" w:hAnsi="宋体" w:cs="宋体"/>
                <w:spacing w:val="-1"/>
                <w:szCs w:val="21"/>
              </w:rPr>
            </w:pPr>
            <w:r>
              <w:rPr>
                <w:rFonts w:ascii="宋体" w:hAnsi="宋体" w:cs="宋体"/>
                <w:spacing w:val="-1"/>
                <w:szCs w:val="21"/>
              </w:rPr>
              <w:t>2 、 声环境影响： 厂界外</w:t>
            </w:r>
            <w:r>
              <w:rPr>
                <w:rFonts w:hint="eastAsia" w:ascii="宋体" w:hAnsi="宋体" w:cs="宋体"/>
                <w:spacing w:val="-1"/>
                <w:szCs w:val="21"/>
              </w:rPr>
              <w:t>1</w:t>
            </w:r>
            <w:r>
              <w:rPr>
                <w:rFonts w:ascii="宋体" w:hAnsi="宋体" w:cs="宋体"/>
                <w:spacing w:val="-1"/>
                <w:szCs w:val="21"/>
              </w:rPr>
              <w:t>00m范围内的区域；</w:t>
            </w:r>
          </w:p>
          <w:p>
            <w:pPr>
              <w:spacing w:before="206" w:line="186" w:lineRule="auto"/>
              <w:ind w:firstLine="111"/>
              <w:rPr>
                <w:rFonts w:ascii="宋体" w:hAnsi="宋体" w:cs="宋体"/>
                <w:spacing w:val="-1"/>
                <w:szCs w:val="21"/>
              </w:rPr>
            </w:pPr>
            <w:r>
              <w:rPr>
                <w:rFonts w:ascii="宋体" w:hAnsi="宋体" w:cs="宋体"/>
                <w:spacing w:val="-1"/>
                <w:szCs w:val="21"/>
              </w:rPr>
              <w:t>3 、 水环境影响： 项目</w:t>
            </w:r>
            <w:r>
              <w:rPr>
                <w:rFonts w:hint="eastAsia" w:ascii="宋体" w:hAnsi="宋体" w:cs="宋体"/>
                <w:spacing w:val="-1"/>
                <w:szCs w:val="21"/>
              </w:rPr>
              <w:t>无</w:t>
            </w:r>
            <w:r>
              <w:rPr>
                <w:rFonts w:ascii="宋体" w:hAnsi="宋体" w:cs="宋体"/>
                <w:spacing w:val="-1"/>
                <w:szCs w:val="21"/>
              </w:rPr>
              <w:t>产生废水；</w:t>
            </w:r>
          </w:p>
          <w:p>
            <w:pPr>
              <w:spacing w:before="206" w:line="186" w:lineRule="auto"/>
              <w:ind w:firstLine="111"/>
              <w:rPr>
                <w:rFonts w:ascii="宋体" w:hAnsi="宋体" w:cs="宋体"/>
                <w:szCs w:val="21"/>
              </w:rPr>
            </w:pPr>
            <w:r>
              <w:rPr>
                <w:rFonts w:ascii="宋体" w:hAnsi="宋体" w:cs="宋体"/>
                <w:spacing w:val="-1"/>
                <w:szCs w:val="21"/>
              </w:rPr>
              <w:t>4 、 公众意见： 项目附近的公众；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7" w:hRule="atLeast"/>
        </w:trPr>
        <w:tc>
          <w:tcPr>
            <w:tcW w:w="891" w:type="dxa"/>
            <w:tcBorders>
              <w:top w:val="single" w:color="000000" w:sz="2" w:space="0"/>
              <w:left w:val="single" w:color="000000" w:sz="2" w:space="0"/>
              <w:bottom w:val="single" w:color="000000" w:sz="2" w:space="0"/>
              <w:right w:val="single" w:color="000000" w:sz="2" w:space="0"/>
            </w:tcBorders>
            <w:vAlign w:val="center"/>
          </w:tcPr>
          <w:p>
            <w:pPr>
              <w:spacing w:line="248" w:lineRule="auto"/>
              <w:jc w:val="center"/>
              <w:rPr>
                <w:rFonts w:ascii="黑体"/>
                <w:szCs w:val="21"/>
              </w:rPr>
            </w:pPr>
          </w:p>
          <w:p>
            <w:pPr>
              <w:spacing w:line="248" w:lineRule="auto"/>
              <w:jc w:val="center"/>
              <w:rPr>
                <w:rFonts w:ascii="黑体"/>
                <w:szCs w:val="21"/>
              </w:rPr>
            </w:pPr>
          </w:p>
          <w:p>
            <w:pPr>
              <w:spacing w:line="249" w:lineRule="auto"/>
              <w:jc w:val="center"/>
              <w:rPr>
                <w:rFonts w:ascii="黑体"/>
                <w:szCs w:val="21"/>
              </w:rPr>
            </w:pPr>
          </w:p>
          <w:p>
            <w:pPr>
              <w:spacing w:before="68" w:line="314" w:lineRule="auto"/>
              <w:ind w:left="131" w:right="104" w:hanging="14"/>
              <w:jc w:val="center"/>
              <w:rPr>
                <w:rFonts w:ascii="宋体" w:hAnsi="宋体" w:cs="宋体"/>
                <w:szCs w:val="21"/>
              </w:rPr>
            </w:pPr>
            <w:r>
              <w:rPr>
                <w:rFonts w:ascii="宋体" w:hAnsi="宋体" w:cs="宋体"/>
                <w:spacing w:val="-4"/>
                <w:szCs w:val="21"/>
              </w:rPr>
              <w:t>调查</w:t>
            </w:r>
            <w:r>
              <w:rPr>
                <w:rFonts w:ascii="宋体" w:hAnsi="宋体" w:cs="宋体"/>
                <w:spacing w:val="-12"/>
                <w:szCs w:val="21"/>
              </w:rPr>
              <w:t>因子</w:t>
            </w:r>
          </w:p>
        </w:tc>
        <w:tc>
          <w:tcPr>
            <w:tcW w:w="8770" w:type="dxa"/>
            <w:tcBorders>
              <w:top w:val="single" w:color="000000" w:sz="2" w:space="0"/>
              <w:left w:val="single" w:color="000000" w:sz="2" w:space="0"/>
              <w:bottom w:val="single" w:color="000000" w:sz="2" w:space="0"/>
              <w:right w:val="single" w:color="000000" w:sz="2" w:space="0"/>
            </w:tcBorders>
          </w:tcPr>
          <w:p>
            <w:pPr>
              <w:spacing w:before="206" w:line="186" w:lineRule="auto"/>
              <w:ind w:firstLine="111"/>
              <w:rPr>
                <w:rFonts w:ascii="宋体" w:hAnsi="宋体" w:cs="宋体"/>
                <w:spacing w:val="-1"/>
                <w:szCs w:val="21"/>
              </w:rPr>
            </w:pPr>
            <w:r>
              <w:rPr>
                <w:rFonts w:ascii="宋体" w:hAnsi="宋体" w:cs="宋体"/>
                <w:spacing w:val="-1"/>
                <w:szCs w:val="21"/>
              </w:rPr>
              <w:t>1 、生态环境：调查施工中植被遭到破坏和进行恢复的情况，以及工程占地类型和实</w:t>
            </w:r>
          </w:p>
          <w:p>
            <w:pPr>
              <w:spacing w:before="206" w:line="186" w:lineRule="auto"/>
              <w:ind w:firstLine="111"/>
              <w:rPr>
                <w:rFonts w:ascii="宋体" w:hAnsi="宋体" w:cs="宋体"/>
                <w:spacing w:val="-1"/>
                <w:szCs w:val="21"/>
              </w:rPr>
            </w:pPr>
            <w:r>
              <w:rPr>
                <w:rFonts w:ascii="宋体" w:hAnsi="宋体" w:cs="宋体"/>
                <w:spacing w:val="-1"/>
                <w:szCs w:val="21"/>
              </w:rPr>
              <w:t>际占地情况，临时占地的恢复情况；</w:t>
            </w:r>
          </w:p>
          <w:p>
            <w:pPr>
              <w:spacing w:before="206" w:line="186" w:lineRule="auto"/>
              <w:ind w:firstLine="111"/>
              <w:rPr>
                <w:rFonts w:ascii="宋体" w:hAnsi="宋体" w:cs="宋体"/>
                <w:spacing w:val="-1"/>
                <w:szCs w:val="21"/>
              </w:rPr>
            </w:pPr>
            <w:r>
              <w:rPr>
                <w:rFonts w:ascii="宋体" w:hAnsi="宋体" w:cs="宋体"/>
                <w:spacing w:val="-1"/>
                <w:szCs w:val="21"/>
              </w:rPr>
              <w:t>2 、声环境：厂界噪声；</w:t>
            </w:r>
          </w:p>
          <w:p>
            <w:pPr>
              <w:spacing w:before="206" w:line="186" w:lineRule="auto"/>
              <w:ind w:firstLine="111"/>
              <w:rPr>
                <w:rFonts w:ascii="宋体" w:hAnsi="宋体" w:cs="宋体"/>
                <w:spacing w:val="-1"/>
                <w:szCs w:val="21"/>
              </w:rPr>
            </w:pPr>
            <w:r>
              <w:rPr>
                <w:rFonts w:ascii="宋体" w:hAnsi="宋体" w:cs="宋体"/>
                <w:spacing w:val="-1"/>
                <w:szCs w:val="21"/>
              </w:rPr>
              <w:t>3、水环境：废水处理设施运行情况， 废水排放量及排放去向；</w:t>
            </w:r>
          </w:p>
          <w:p>
            <w:pPr>
              <w:spacing w:before="206" w:line="186" w:lineRule="auto"/>
              <w:ind w:firstLine="111"/>
              <w:rPr>
                <w:rFonts w:ascii="宋体" w:hAnsi="宋体" w:cs="宋体"/>
                <w:spacing w:val="-1"/>
                <w:szCs w:val="21"/>
              </w:rPr>
            </w:pPr>
            <w:r>
              <w:rPr>
                <w:rFonts w:ascii="宋体" w:hAnsi="宋体" w:cs="宋体"/>
                <w:spacing w:val="-1"/>
                <w:szCs w:val="21"/>
              </w:rPr>
              <w:t>4、固体废弃物：施工期和运行期固体废物；</w:t>
            </w:r>
          </w:p>
          <w:p>
            <w:pPr>
              <w:spacing w:before="206" w:line="186" w:lineRule="auto"/>
              <w:ind w:firstLine="111"/>
              <w:rPr>
                <w:szCs w:val="21"/>
              </w:rPr>
            </w:pPr>
            <w:r>
              <w:rPr>
                <w:rFonts w:hint="eastAsia" w:ascii="宋体" w:hAnsi="宋体" w:cs="宋体"/>
                <w:spacing w:val="-1"/>
                <w:szCs w:val="21"/>
              </w:rPr>
              <w:t>5、升压站工频电场、工频磁场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891" w:type="dxa"/>
            <w:tcBorders>
              <w:top w:val="single" w:color="000000" w:sz="2" w:space="0"/>
              <w:left w:val="single" w:color="000000" w:sz="2" w:space="0"/>
              <w:bottom w:val="single" w:color="000000" w:sz="2" w:space="0"/>
              <w:right w:val="single" w:color="000000" w:sz="4" w:space="0"/>
            </w:tcBorders>
            <w:vAlign w:val="center"/>
          </w:tcPr>
          <w:p>
            <w:pPr>
              <w:spacing w:line="269" w:lineRule="auto"/>
              <w:jc w:val="center"/>
              <w:rPr>
                <w:rFonts w:ascii="黑体"/>
                <w:szCs w:val="21"/>
              </w:rPr>
            </w:pPr>
          </w:p>
          <w:p>
            <w:pPr>
              <w:spacing w:line="270" w:lineRule="auto"/>
              <w:jc w:val="center"/>
              <w:rPr>
                <w:rFonts w:ascii="黑体"/>
                <w:szCs w:val="21"/>
              </w:rPr>
            </w:pPr>
          </w:p>
          <w:p>
            <w:pPr>
              <w:spacing w:line="270" w:lineRule="auto"/>
              <w:jc w:val="center"/>
              <w:rPr>
                <w:rFonts w:ascii="黑体"/>
                <w:szCs w:val="21"/>
              </w:rPr>
            </w:pPr>
          </w:p>
          <w:p>
            <w:pPr>
              <w:spacing w:before="68" w:line="316" w:lineRule="auto"/>
              <w:ind w:left="116" w:right="104"/>
              <w:jc w:val="center"/>
              <w:rPr>
                <w:rFonts w:ascii="宋体" w:hAnsi="宋体" w:cs="宋体"/>
                <w:szCs w:val="21"/>
              </w:rPr>
            </w:pPr>
            <w:r>
              <w:rPr>
                <w:rFonts w:ascii="宋体" w:hAnsi="宋体" w:cs="宋体"/>
                <w:spacing w:val="-3"/>
                <w:szCs w:val="21"/>
              </w:rPr>
              <w:t>环境</w:t>
            </w:r>
            <w:r>
              <w:rPr>
                <w:rFonts w:ascii="宋体" w:hAnsi="宋体" w:cs="宋体"/>
                <w:spacing w:val="-4"/>
                <w:szCs w:val="21"/>
              </w:rPr>
              <w:t>敏感目标</w:t>
            </w:r>
          </w:p>
        </w:tc>
        <w:tc>
          <w:tcPr>
            <w:tcW w:w="8770" w:type="dxa"/>
            <w:tcBorders>
              <w:top w:val="single" w:color="000000" w:sz="2" w:space="0"/>
              <w:left w:val="single" w:color="000000" w:sz="4" w:space="0"/>
              <w:bottom w:val="single" w:color="000000" w:sz="2" w:space="0"/>
              <w:right w:val="single" w:color="000000" w:sz="2" w:space="0"/>
            </w:tcBorders>
          </w:tcPr>
          <w:p>
            <w:pPr>
              <w:spacing w:line="360" w:lineRule="auto"/>
              <w:ind w:firstLine="380" w:firstLineChars="200"/>
              <w:rPr>
                <w:rFonts w:ascii="宋体" w:hAnsi="宋体" w:cs="宋体"/>
                <w:spacing w:val="-10"/>
                <w:szCs w:val="21"/>
              </w:rPr>
            </w:pPr>
          </w:p>
          <w:p>
            <w:pPr>
              <w:widowControl/>
              <w:spacing w:line="360" w:lineRule="auto"/>
              <w:ind w:firstLine="380" w:firstLineChars="200"/>
              <w:rPr>
                <w:rFonts w:ascii="宋体" w:hAnsi="宋体" w:cs="宋体"/>
                <w:szCs w:val="21"/>
              </w:rPr>
            </w:pPr>
            <w:r>
              <w:rPr>
                <w:rFonts w:ascii="宋体" w:hAnsi="宋体" w:cs="宋体"/>
                <w:spacing w:val="-10"/>
                <w:szCs w:val="21"/>
              </w:rPr>
              <w:t>根据现场调查，</w:t>
            </w:r>
            <w:r>
              <w:rPr>
                <w:rFonts w:hint="eastAsia" w:ascii="宋体" w:hAnsi="宋体" w:cs="宋体"/>
                <w:color w:val="000000"/>
                <w:kern w:val="0"/>
                <w:szCs w:val="21"/>
              </w:rPr>
              <w:t>本工程评价范围内没有自然保护区、风景名胜区、世界文化和自然遗产地、海洋特别保护区、饮用水水源保护区等环境敏感区。对照《江苏省国家级生态保护红线规划》，本工程评价范围内不涉及江苏省国家级生态保护红线；对照《省政府关于印发江苏省生态空间管控区域规划的通知》，本工程评价范围内不涉及江苏省生态空间保护区域。本工程升压站评价范围内无电磁环境和声环境保护目标</w:t>
            </w:r>
            <w:r>
              <w:rPr>
                <w:rFonts w:ascii="宋体" w:hAnsi="宋体" w:cs="宋体"/>
                <w:spacing w:val="-8"/>
                <w:szCs w:val="21"/>
              </w:rPr>
              <w:t>。</w:t>
            </w:r>
          </w:p>
          <w:p>
            <w:pPr>
              <w:spacing w:before="117" w:line="186" w:lineRule="auto"/>
              <w:ind w:firstLine="1894"/>
              <w:rPr>
                <w:rFonts w:ascii="黑体" w:hAnsi="黑体" w:eastAsia="黑体" w:cs="黑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6" w:hRule="atLeast"/>
        </w:trPr>
        <w:tc>
          <w:tcPr>
            <w:tcW w:w="891" w:type="dxa"/>
            <w:tcBorders>
              <w:top w:val="single" w:color="000000" w:sz="2" w:space="0"/>
              <w:left w:val="single" w:color="000000" w:sz="2" w:space="0"/>
              <w:bottom w:val="single" w:color="000000" w:sz="2" w:space="0"/>
              <w:right w:val="single" w:color="000000" w:sz="2" w:space="0"/>
            </w:tcBorders>
            <w:vAlign w:val="center"/>
          </w:tcPr>
          <w:p>
            <w:pPr>
              <w:spacing w:before="178" w:line="316" w:lineRule="auto"/>
              <w:ind w:left="116" w:right="104"/>
              <w:jc w:val="center"/>
              <w:rPr>
                <w:rFonts w:ascii="宋体" w:hAnsi="宋体" w:cs="宋体"/>
                <w:szCs w:val="21"/>
              </w:rPr>
            </w:pPr>
            <w:r>
              <w:rPr>
                <w:rFonts w:ascii="宋体" w:hAnsi="宋体" w:cs="宋体"/>
                <w:spacing w:val="-4"/>
                <w:szCs w:val="21"/>
              </w:rPr>
              <w:t>调查重点</w:t>
            </w:r>
          </w:p>
        </w:tc>
        <w:tc>
          <w:tcPr>
            <w:tcW w:w="8770" w:type="dxa"/>
            <w:tcBorders>
              <w:top w:val="single" w:color="000000" w:sz="2" w:space="0"/>
              <w:left w:val="single" w:color="000000" w:sz="2" w:space="0"/>
              <w:bottom w:val="single" w:color="000000" w:sz="2" w:space="0"/>
              <w:right w:val="single" w:color="000000" w:sz="2" w:space="0"/>
            </w:tcBorders>
          </w:tcPr>
          <w:p>
            <w:pPr>
              <w:spacing w:line="360" w:lineRule="auto"/>
              <w:ind w:firstLine="420" w:firstLineChars="200"/>
              <w:rPr>
                <w:szCs w:val="21"/>
              </w:rPr>
            </w:pPr>
          </w:p>
          <w:p>
            <w:pPr>
              <w:spacing w:line="360" w:lineRule="auto"/>
              <w:ind w:firstLine="420" w:firstLineChars="200"/>
              <w:rPr>
                <w:szCs w:val="21"/>
              </w:rPr>
            </w:pPr>
            <w:r>
              <w:rPr>
                <w:rFonts w:hint="eastAsia"/>
                <w:szCs w:val="21"/>
              </w:rPr>
              <w:t xml:space="preserve">本次调查内容有工程施工期对施工作业区域造成的生态影响及生态恢复情况以 及试运营期造成的大气环境、声环境、水环境影响、固废影响，环境影响报告表及批 复中提出的各项环境保护措施落实情况及其有效性。 </w:t>
            </w:r>
          </w:p>
          <w:p>
            <w:pPr>
              <w:spacing w:line="360" w:lineRule="auto"/>
              <w:ind w:firstLine="420" w:firstLineChars="200"/>
              <w:rPr>
                <w:szCs w:val="21"/>
              </w:rPr>
            </w:pPr>
            <w:r>
              <w:rPr>
                <w:szCs w:val="21"/>
              </w:rPr>
              <w:t>本次调查的重点为：工程试运营期造成的声环境、</w:t>
            </w:r>
            <w:r>
              <w:rPr>
                <w:rFonts w:hint="eastAsia"/>
                <w:szCs w:val="21"/>
              </w:rPr>
              <w:t>工频电场和工频磁场</w:t>
            </w:r>
            <w:r>
              <w:rPr>
                <w:szCs w:val="21"/>
              </w:rPr>
              <w:t>环境影响。</w:t>
            </w:r>
          </w:p>
          <w:p>
            <w:pPr>
              <w:pStyle w:val="2"/>
              <w:rPr>
                <w:szCs w:val="21"/>
              </w:rPr>
            </w:pPr>
          </w:p>
          <w:p>
            <w:pPr>
              <w:pStyle w:val="2"/>
              <w:ind w:firstLine="0" w:firstLineChars="0"/>
              <w:rPr>
                <w:szCs w:val="21"/>
              </w:rPr>
            </w:pPr>
          </w:p>
          <w:p>
            <w:pPr>
              <w:pStyle w:val="2"/>
              <w:ind w:firstLine="0" w:firstLineChars="0"/>
              <w:rPr>
                <w:szCs w:val="21"/>
              </w:rPr>
            </w:pPr>
          </w:p>
          <w:p>
            <w:pPr>
              <w:pStyle w:val="2"/>
              <w:ind w:firstLine="0" w:firstLineChars="0"/>
              <w:rPr>
                <w:szCs w:val="21"/>
              </w:rPr>
            </w:pPr>
          </w:p>
          <w:p>
            <w:pPr>
              <w:pStyle w:val="2"/>
              <w:ind w:firstLine="0" w:firstLineChars="0"/>
              <w:rPr>
                <w:szCs w:val="21"/>
              </w:rPr>
            </w:pPr>
          </w:p>
          <w:p>
            <w:pPr>
              <w:pStyle w:val="2"/>
              <w:ind w:firstLine="0" w:firstLineChars="0"/>
              <w:rPr>
                <w:szCs w:val="21"/>
              </w:rPr>
            </w:pPr>
          </w:p>
          <w:p>
            <w:pPr>
              <w:pStyle w:val="2"/>
              <w:ind w:firstLine="0" w:firstLineChars="0"/>
              <w:rPr>
                <w:szCs w:val="21"/>
              </w:rPr>
            </w:pPr>
          </w:p>
          <w:p>
            <w:pPr>
              <w:pStyle w:val="2"/>
              <w:ind w:firstLine="0" w:firstLineChars="0"/>
              <w:rPr>
                <w:szCs w:val="21"/>
              </w:rPr>
            </w:pPr>
          </w:p>
          <w:p>
            <w:pPr>
              <w:pStyle w:val="2"/>
              <w:ind w:firstLine="0" w:firstLineChars="0"/>
              <w:rPr>
                <w:szCs w:val="21"/>
              </w:rPr>
            </w:pPr>
          </w:p>
          <w:p>
            <w:pPr>
              <w:tabs>
                <w:tab w:val="left" w:pos="716"/>
              </w:tabs>
              <w:jc w:val="left"/>
              <w:rPr>
                <w:szCs w:val="21"/>
              </w:rPr>
            </w:pPr>
          </w:p>
        </w:tc>
      </w:tr>
    </w:tbl>
    <w:p>
      <w:pPr>
        <w:spacing w:line="360" w:lineRule="auto"/>
        <w:jc w:val="left"/>
        <w:rPr>
          <w:rFonts w:ascii="宋体" w:hAnsi="宋体" w:cs="宋体"/>
          <w:spacing w:val="-4"/>
          <w:sz w:val="28"/>
          <w:szCs w:val="28"/>
        </w:rPr>
      </w:pPr>
      <w:bookmarkStart w:id="4" w:name="_Toc32596"/>
    </w:p>
    <w:p>
      <w:pPr>
        <w:spacing w:line="360" w:lineRule="auto"/>
        <w:jc w:val="left"/>
        <w:rPr>
          <w:rFonts w:ascii="宋体" w:hAnsi="宋体" w:cs="宋体"/>
          <w:spacing w:val="-4"/>
          <w:sz w:val="28"/>
          <w:szCs w:val="28"/>
        </w:rPr>
      </w:pPr>
    </w:p>
    <w:p>
      <w:pPr>
        <w:spacing w:line="360" w:lineRule="auto"/>
        <w:jc w:val="left"/>
        <w:outlineLvl w:val="0"/>
        <w:rPr>
          <w:rFonts w:ascii="黑体" w:hAnsi="黑体" w:eastAsia="黑体" w:cs="黑体"/>
          <w:b/>
          <w:bCs/>
          <w:sz w:val="28"/>
          <w:szCs w:val="28"/>
        </w:rPr>
      </w:pPr>
      <w:r>
        <w:rPr>
          <w:rFonts w:hint="eastAsia" w:ascii="宋体" w:hAnsi="宋体" w:cs="宋体"/>
          <w:b/>
          <w:bCs/>
          <w:spacing w:val="-4"/>
          <w:sz w:val="28"/>
          <w:szCs w:val="28"/>
        </w:rPr>
        <w:t>表三验收执行标准</w:t>
      </w:r>
      <w:bookmarkEnd w:id="4"/>
    </w:p>
    <w:p>
      <w:pPr>
        <w:spacing w:line="80" w:lineRule="exact"/>
      </w:pPr>
    </w:p>
    <w:tbl>
      <w:tblPr>
        <w:tblStyle w:val="120"/>
        <w:tblW w:w="5003" w:type="pct"/>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91" w:hRule="atLeast"/>
        </w:trPr>
        <w:tc>
          <w:tcPr>
            <w:tcW w:w="9644" w:type="dxa"/>
          </w:tcPr>
          <w:p>
            <w:pPr>
              <w:spacing w:line="360" w:lineRule="auto"/>
              <w:rPr>
                <w:sz w:val="21"/>
                <w:szCs w:val="21"/>
              </w:rPr>
            </w:pPr>
            <w:r>
              <w:rPr>
                <w:rFonts w:hint="eastAsia"/>
                <w:sz w:val="21"/>
                <w:szCs w:val="21"/>
              </w:rPr>
              <w:t>3</w:t>
            </w:r>
            <w:r>
              <w:rPr>
                <w:sz w:val="21"/>
                <w:szCs w:val="21"/>
              </w:rPr>
              <w:t>.</w:t>
            </w:r>
            <w:r>
              <w:rPr>
                <w:rFonts w:hint="eastAsia"/>
                <w:sz w:val="21"/>
                <w:szCs w:val="21"/>
              </w:rPr>
              <w:t>1</w:t>
            </w:r>
            <w:r>
              <w:rPr>
                <w:sz w:val="21"/>
                <w:szCs w:val="21"/>
              </w:rPr>
              <w:t>厂界环境噪声执行标准</w:t>
            </w:r>
          </w:p>
          <w:p>
            <w:pPr>
              <w:jc w:val="center"/>
              <w:rPr>
                <w:sz w:val="21"/>
                <w:szCs w:val="21"/>
              </w:rPr>
            </w:pPr>
            <w:r>
              <w:rPr>
                <w:sz w:val="21"/>
                <w:szCs w:val="21"/>
              </w:rPr>
              <w:t>表1.</w:t>
            </w:r>
            <w:r>
              <w:rPr>
                <w:rFonts w:hint="eastAsia"/>
                <w:sz w:val="21"/>
                <w:szCs w:val="21"/>
              </w:rPr>
              <w:t>1 噪声排放限值</w:t>
            </w:r>
          </w:p>
          <w:tbl>
            <w:tblPr>
              <w:tblStyle w:val="33"/>
              <w:tblW w:w="475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777"/>
              <w:gridCol w:w="1480"/>
              <w:gridCol w:w="1673"/>
              <w:gridCol w:w="423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69" w:type="pct"/>
                  <w:vAlign w:val="center"/>
                </w:tcPr>
                <w:p>
                  <w:pPr>
                    <w:jc w:val="center"/>
                    <w:rPr>
                      <w:sz w:val="21"/>
                      <w:szCs w:val="21"/>
                    </w:rPr>
                  </w:pPr>
                  <w:r>
                    <w:rPr>
                      <w:rFonts w:hint="eastAsia"/>
                      <w:sz w:val="21"/>
                      <w:szCs w:val="21"/>
                    </w:rPr>
                    <w:t>项目所在地</w:t>
                  </w:r>
                </w:p>
              </w:tc>
              <w:tc>
                <w:tcPr>
                  <w:tcW w:w="807" w:type="pct"/>
                  <w:vAlign w:val="center"/>
                </w:tcPr>
                <w:p>
                  <w:pPr>
                    <w:jc w:val="center"/>
                    <w:rPr>
                      <w:sz w:val="21"/>
                      <w:szCs w:val="21"/>
                    </w:rPr>
                  </w:pPr>
                  <w:r>
                    <w:rPr>
                      <w:sz w:val="21"/>
                      <w:szCs w:val="21"/>
                    </w:rPr>
                    <w:t>昼 间</w:t>
                  </w:r>
                </w:p>
              </w:tc>
              <w:tc>
                <w:tcPr>
                  <w:tcW w:w="912" w:type="pct"/>
                  <w:vAlign w:val="center"/>
                </w:tcPr>
                <w:p>
                  <w:pPr>
                    <w:jc w:val="center"/>
                    <w:rPr>
                      <w:sz w:val="21"/>
                      <w:szCs w:val="21"/>
                    </w:rPr>
                  </w:pPr>
                  <w:r>
                    <w:rPr>
                      <w:sz w:val="21"/>
                      <w:szCs w:val="21"/>
                    </w:rPr>
                    <w:t>夜 间</w:t>
                  </w:r>
                </w:p>
              </w:tc>
              <w:tc>
                <w:tcPr>
                  <w:tcW w:w="2309" w:type="pct"/>
                  <w:vAlign w:val="center"/>
                </w:tcPr>
                <w:p>
                  <w:pPr>
                    <w:jc w:val="center"/>
                    <w:rPr>
                      <w:sz w:val="21"/>
                      <w:szCs w:val="21"/>
                    </w:rPr>
                  </w:pPr>
                  <w:r>
                    <w:rPr>
                      <w:sz w:val="21"/>
                      <w:szCs w:val="21"/>
                    </w:rPr>
                    <w:t>依    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69" w:type="pct"/>
                  <w:vAlign w:val="center"/>
                </w:tcPr>
                <w:p>
                  <w:pPr>
                    <w:jc w:val="center"/>
                    <w:rPr>
                      <w:sz w:val="21"/>
                      <w:szCs w:val="21"/>
                    </w:rPr>
                  </w:pPr>
                  <w:r>
                    <w:rPr>
                      <w:rFonts w:hint="eastAsia"/>
                      <w:sz w:val="21"/>
                      <w:szCs w:val="21"/>
                    </w:rPr>
                    <w:t>升压站</w:t>
                  </w:r>
                </w:p>
              </w:tc>
              <w:tc>
                <w:tcPr>
                  <w:tcW w:w="807" w:type="pct"/>
                  <w:vAlign w:val="center"/>
                </w:tcPr>
                <w:p>
                  <w:pPr>
                    <w:jc w:val="center"/>
                    <w:rPr>
                      <w:sz w:val="21"/>
                      <w:szCs w:val="21"/>
                    </w:rPr>
                  </w:pPr>
                  <w:r>
                    <w:rPr>
                      <w:rFonts w:hint="eastAsia"/>
                      <w:sz w:val="21"/>
                      <w:szCs w:val="21"/>
                    </w:rPr>
                    <w:t>55</w:t>
                  </w:r>
                  <w:r>
                    <w:rPr>
                      <w:sz w:val="21"/>
                      <w:szCs w:val="21"/>
                    </w:rPr>
                    <w:t>dB（A）</w:t>
                  </w:r>
                </w:p>
              </w:tc>
              <w:tc>
                <w:tcPr>
                  <w:tcW w:w="912" w:type="pct"/>
                  <w:vAlign w:val="center"/>
                </w:tcPr>
                <w:p>
                  <w:pPr>
                    <w:jc w:val="center"/>
                    <w:rPr>
                      <w:sz w:val="21"/>
                      <w:szCs w:val="21"/>
                    </w:rPr>
                  </w:pPr>
                  <w:r>
                    <w:rPr>
                      <w:rFonts w:hint="eastAsia"/>
                      <w:sz w:val="21"/>
                      <w:szCs w:val="21"/>
                    </w:rPr>
                    <w:t>45</w:t>
                  </w:r>
                  <w:r>
                    <w:rPr>
                      <w:sz w:val="21"/>
                      <w:szCs w:val="21"/>
                    </w:rPr>
                    <w:t>dB（A）</w:t>
                  </w:r>
                </w:p>
              </w:tc>
              <w:tc>
                <w:tcPr>
                  <w:tcW w:w="2309" w:type="pct"/>
                  <w:vAlign w:val="center"/>
                </w:tcPr>
                <w:p>
                  <w:pPr>
                    <w:jc w:val="center"/>
                    <w:rPr>
                      <w:sz w:val="21"/>
                      <w:szCs w:val="21"/>
                    </w:rPr>
                  </w:pPr>
                  <w:r>
                    <w:rPr>
                      <w:rFonts w:hint="eastAsia"/>
                      <w:sz w:val="21"/>
                      <w:szCs w:val="21"/>
                    </w:rPr>
                    <w:t>《工业企业厂界环境噪声排放标准》（GB12348-2008）1类标准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69" w:type="pct"/>
                  <w:vAlign w:val="center"/>
                </w:tcPr>
                <w:p>
                  <w:pPr>
                    <w:jc w:val="center"/>
                    <w:rPr>
                      <w:sz w:val="21"/>
                      <w:szCs w:val="21"/>
                    </w:rPr>
                  </w:pPr>
                  <w:r>
                    <w:rPr>
                      <w:rFonts w:hint="eastAsia"/>
                      <w:sz w:val="21"/>
                      <w:szCs w:val="21"/>
                    </w:rPr>
                    <w:t>备注</w:t>
                  </w:r>
                </w:p>
              </w:tc>
              <w:tc>
                <w:tcPr>
                  <w:tcW w:w="4030" w:type="pct"/>
                  <w:gridSpan w:val="3"/>
                  <w:vAlign w:val="center"/>
                </w:tcPr>
                <w:p>
                  <w:pPr>
                    <w:jc w:val="center"/>
                    <w:rPr>
                      <w:sz w:val="21"/>
                      <w:szCs w:val="21"/>
                    </w:rPr>
                  </w:pPr>
                  <w:r>
                    <w:rPr>
                      <w:rFonts w:hint="eastAsia"/>
                      <w:sz w:val="21"/>
                      <w:szCs w:val="21"/>
                    </w:rPr>
                    <w:t>北厂界离G2515距离35m，北厂界执行</w:t>
                  </w:r>
                  <w:r>
                    <w:rPr>
                      <w:rFonts w:hint="eastAsia"/>
                      <w:color w:val="auto"/>
                      <w:sz w:val="21"/>
                      <w:szCs w:val="21"/>
                    </w:rPr>
                    <w:t>（GB12348-2008）4a类标准</w:t>
                  </w:r>
                </w:p>
              </w:tc>
            </w:tr>
          </w:tbl>
          <w:p>
            <w:pPr>
              <w:rPr>
                <w:sz w:val="21"/>
                <w:szCs w:val="21"/>
              </w:rPr>
            </w:pPr>
          </w:p>
          <w:p>
            <w:pPr>
              <w:spacing w:line="360" w:lineRule="auto"/>
              <w:rPr>
                <w:sz w:val="21"/>
                <w:szCs w:val="21"/>
              </w:rPr>
            </w:pPr>
            <w:r>
              <w:rPr>
                <w:rFonts w:hint="eastAsia"/>
                <w:sz w:val="21"/>
                <w:szCs w:val="21"/>
              </w:rPr>
              <w:t>3.2工频电场、工频磁场执行标准</w:t>
            </w:r>
          </w:p>
          <w:p>
            <w:pPr>
              <w:jc w:val="center"/>
              <w:rPr>
                <w:sz w:val="21"/>
                <w:szCs w:val="21"/>
              </w:rPr>
            </w:pPr>
            <w:r>
              <w:rPr>
                <w:sz w:val="21"/>
                <w:szCs w:val="21"/>
              </w:rPr>
              <w:t>表1.</w:t>
            </w:r>
            <w:r>
              <w:rPr>
                <w:rFonts w:hint="eastAsia"/>
                <w:sz w:val="21"/>
                <w:szCs w:val="21"/>
              </w:rPr>
              <w:t>2 工频电场、工频磁场排放限值</w:t>
            </w:r>
          </w:p>
          <w:tbl>
            <w:tblPr>
              <w:tblStyle w:val="33"/>
              <w:tblW w:w="475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777"/>
              <w:gridCol w:w="1480"/>
              <w:gridCol w:w="1673"/>
              <w:gridCol w:w="423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69" w:type="pct"/>
                  <w:vAlign w:val="center"/>
                </w:tcPr>
                <w:p>
                  <w:pPr>
                    <w:jc w:val="center"/>
                    <w:rPr>
                      <w:sz w:val="21"/>
                      <w:szCs w:val="21"/>
                    </w:rPr>
                  </w:pPr>
                  <w:r>
                    <w:rPr>
                      <w:rFonts w:hint="eastAsia"/>
                      <w:sz w:val="21"/>
                      <w:szCs w:val="21"/>
                    </w:rPr>
                    <w:t>项目所在地</w:t>
                  </w:r>
                </w:p>
              </w:tc>
              <w:tc>
                <w:tcPr>
                  <w:tcW w:w="807" w:type="pct"/>
                  <w:vAlign w:val="center"/>
                </w:tcPr>
                <w:p>
                  <w:pPr>
                    <w:jc w:val="center"/>
                    <w:rPr>
                      <w:sz w:val="21"/>
                      <w:szCs w:val="21"/>
                    </w:rPr>
                  </w:pPr>
                  <w:r>
                    <w:rPr>
                      <w:rFonts w:hint="eastAsia"/>
                      <w:sz w:val="21"/>
                      <w:szCs w:val="21"/>
                    </w:rPr>
                    <w:t>工频电场</w:t>
                  </w:r>
                </w:p>
              </w:tc>
              <w:tc>
                <w:tcPr>
                  <w:tcW w:w="913" w:type="pct"/>
                  <w:vAlign w:val="center"/>
                </w:tcPr>
                <w:p>
                  <w:pPr>
                    <w:jc w:val="center"/>
                    <w:rPr>
                      <w:sz w:val="21"/>
                      <w:szCs w:val="21"/>
                    </w:rPr>
                  </w:pPr>
                  <w:r>
                    <w:rPr>
                      <w:rFonts w:hint="eastAsia"/>
                      <w:sz w:val="21"/>
                      <w:szCs w:val="21"/>
                    </w:rPr>
                    <w:t>工频磁场</w:t>
                  </w:r>
                </w:p>
              </w:tc>
              <w:tc>
                <w:tcPr>
                  <w:tcW w:w="2309" w:type="pct"/>
                  <w:vAlign w:val="center"/>
                </w:tcPr>
                <w:p>
                  <w:pPr>
                    <w:jc w:val="center"/>
                    <w:rPr>
                      <w:sz w:val="21"/>
                      <w:szCs w:val="21"/>
                    </w:rPr>
                  </w:pPr>
                  <w:r>
                    <w:rPr>
                      <w:sz w:val="21"/>
                      <w:szCs w:val="21"/>
                    </w:rPr>
                    <w:t>依    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69" w:type="pct"/>
                  <w:vAlign w:val="center"/>
                </w:tcPr>
                <w:p>
                  <w:pPr>
                    <w:jc w:val="center"/>
                    <w:rPr>
                      <w:sz w:val="21"/>
                      <w:szCs w:val="21"/>
                    </w:rPr>
                  </w:pPr>
                  <w:r>
                    <w:rPr>
                      <w:rFonts w:hint="eastAsia"/>
                      <w:sz w:val="21"/>
                      <w:szCs w:val="21"/>
                    </w:rPr>
                    <w:t>升压站</w:t>
                  </w:r>
                </w:p>
              </w:tc>
              <w:tc>
                <w:tcPr>
                  <w:tcW w:w="807" w:type="pct"/>
                  <w:vAlign w:val="center"/>
                </w:tcPr>
                <w:p>
                  <w:pPr>
                    <w:jc w:val="center"/>
                    <w:rPr>
                      <w:sz w:val="21"/>
                      <w:szCs w:val="21"/>
                    </w:rPr>
                  </w:pPr>
                  <w:r>
                    <w:rPr>
                      <w:rFonts w:hint="eastAsia"/>
                      <w:sz w:val="21"/>
                      <w:szCs w:val="21"/>
                    </w:rPr>
                    <w:t>4000V/m</w:t>
                  </w:r>
                </w:p>
              </w:tc>
              <w:tc>
                <w:tcPr>
                  <w:tcW w:w="913" w:type="pct"/>
                  <w:vAlign w:val="center"/>
                </w:tcPr>
                <w:p>
                  <w:pPr>
                    <w:widowControl/>
                    <w:jc w:val="center"/>
                    <w:rPr>
                      <w:sz w:val="21"/>
                      <w:szCs w:val="21"/>
                    </w:rPr>
                  </w:pPr>
                  <w:r>
                    <w:rPr>
                      <w:sz w:val="21"/>
                      <w:szCs w:val="21"/>
                    </w:rPr>
                    <w:t>100μT</w:t>
                  </w:r>
                </w:p>
              </w:tc>
              <w:tc>
                <w:tcPr>
                  <w:tcW w:w="2309" w:type="pct"/>
                  <w:vAlign w:val="center"/>
                </w:tcPr>
                <w:p>
                  <w:pPr>
                    <w:jc w:val="center"/>
                    <w:rPr>
                      <w:sz w:val="21"/>
                      <w:szCs w:val="21"/>
                    </w:rPr>
                  </w:pPr>
                  <w:r>
                    <w:rPr>
                      <w:rFonts w:hint="eastAsia"/>
                      <w:sz w:val="21"/>
                      <w:szCs w:val="21"/>
                    </w:rPr>
                    <w:t>《电磁环境控制限制》（GB8702-2014）表1标准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69" w:type="pct"/>
                  <w:vAlign w:val="center"/>
                </w:tcPr>
                <w:p>
                  <w:pPr>
                    <w:jc w:val="center"/>
                    <w:rPr>
                      <w:sz w:val="21"/>
                      <w:szCs w:val="21"/>
                    </w:rPr>
                  </w:pPr>
                  <w:r>
                    <w:rPr>
                      <w:rFonts w:hint="eastAsia"/>
                      <w:sz w:val="21"/>
                      <w:szCs w:val="21"/>
                    </w:rPr>
                    <w:t>备注</w:t>
                  </w:r>
                </w:p>
              </w:tc>
              <w:tc>
                <w:tcPr>
                  <w:tcW w:w="4030" w:type="pct"/>
                  <w:gridSpan w:val="3"/>
                  <w:vAlign w:val="center"/>
                </w:tcPr>
                <w:p>
                  <w:pPr>
                    <w:jc w:val="center"/>
                    <w:rPr>
                      <w:sz w:val="21"/>
                      <w:szCs w:val="21"/>
                    </w:rPr>
                  </w:pPr>
                  <w:r>
                    <w:rPr>
                      <w:rFonts w:hint="eastAsia"/>
                      <w:sz w:val="21"/>
                      <w:szCs w:val="21"/>
                    </w:rPr>
                    <w:t>/</w:t>
                  </w:r>
                </w:p>
              </w:tc>
            </w:tr>
          </w:tbl>
          <w:p>
            <w:pPr>
              <w:rPr>
                <w:sz w:val="21"/>
                <w:szCs w:val="21"/>
              </w:rPr>
            </w:pPr>
          </w:p>
          <w:p>
            <w:pPr>
              <w:rPr>
                <w:sz w:val="21"/>
                <w:szCs w:val="21"/>
              </w:rPr>
            </w:pPr>
          </w:p>
          <w:p>
            <w:pPr>
              <w:spacing w:line="360" w:lineRule="auto"/>
              <w:rPr>
                <w:sz w:val="21"/>
                <w:szCs w:val="21"/>
              </w:rPr>
            </w:pPr>
            <w:r>
              <w:rPr>
                <w:rFonts w:hint="eastAsia"/>
                <w:sz w:val="21"/>
                <w:szCs w:val="21"/>
              </w:rPr>
              <w:t>3.3 固废执行标准</w:t>
            </w:r>
          </w:p>
          <w:p>
            <w:pPr>
              <w:spacing w:line="360" w:lineRule="auto"/>
              <w:ind w:firstLine="420" w:firstLineChars="200"/>
              <w:rPr>
                <w:sz w:val="21"/>
                <w:szCs w:val="21"/>
              </w:rPr>
            </w:pPr>
            <w:r>
              <w:rPr>
                <w:rFonts w:hint="eastAsia"/>
                <w:sz w:val="21"/>
                <w:szCs w:val="21"/>
              </w:rPr>
              <w:t>本项目产生的固废执行《中华人民共和国固体</w:t>
            </w:r>
            <w:r>
              <w:rPr>
                <w:rFonts w:hint="eastAsia"/>
                <w:b w:val="0"/>
                <w:bCs w:val="0"/>
                <w:color w:val="auto"/>
                <w:sz w:val="21"/>
                <w:szCs w:val="21"/>
              </w:rPr>
              <w:t>废物污染</w:t>
            </w:r>
            <w:r>
              <w:rPr>
                <w:rFonts w:hint="eastAsia"/>
                <w:sz w:val="21"/>
                <w:szCs w:val="21"/>
              </w:rPr>
              <w:t>环境防治法》（2016年11月7日修订）。</w:t>
            </w: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pStyle w:val="2"/>
              <w:rPr>
                <w:color w:val="FF0000"/>
                <w:sz w:val="21"/>
                <w:szCs w:val="21"/>
              </w:rPr>
            </w:pPr>
          </w:p>
          <w:p>
            <w:pPr>
              <w:pStyle w:val="2"/>
              <w:rPr>
                <w:color w:val="FF0000"/>
                <w:sz w:val="21"/>
                <w:szCs w:val="21"/>
              </w:rPr>
            </w:pPr>
          </w:p>
          <w:p>
            <w:pPr>
              <w:pStyle w:val="2"/>
              <w:rPr>
                <w:color w:val="FF0000"/>
                <w:sz w:val="21"/>
                <w:szCs w:val="21"/>
              </w:rPr>
            </w:pPr>
          </w:p>
          <w:p>
            <w:pPr>
              <w:pStyle w:val="2"/>
              <w:rPr>
                <w:color w:val="FF0000"/>
                <w:sz w:val="21"/>
                <w:szCs w:val="21"/>
              </w:rPr>
            </w:pPr>
          </w:p>
          <w:p>
            <w:pPr>
              <w:pStyle w:val="2"/>
              <w:rPr>
                <w:color w:val="FF0000"/>
                <w:sz w:val="21"/>
                <w:szCs w:val="21"/>
              </w:rPr>
            </w:pPr>
          </w:p>
          <w:p>
            <w:pPr>
              <w:pStyle w:val="2"/>
              <w:rPr>
                <w:color w:val="FF0000"/>
                <w:sz w:val="21"/>
                <w:szCs w:val="21"/>
              </w:rPr>
            </w:pPr>
          </w:p>
          <w:p>
            <w:pPr>
              <w:pStyle w:val="2"/>
              <w:rPr>
                <w:color w:val="FF0000"/>
                <w:sz w:val="21"/>
                <w:szCs w:val="21"/>
              </w:rPr>
            </w:pPr>
          </w:p>
          <w:p>
            <w:pPr>
              <w:pStyle w:val="2"/>
              <w:rPr>
                <w:color w:val="FF0000"/>
                <w:sz w:val="21"/>
                <w:szCs w:val="21"/>
              </w:rPr>
            </w:pPr>
          </w:p>
          <w:p>
            <w:pPr>
              <w:pStyle w:val="2"/>
              <w:rPr>
                <w:color w:val="FF0000"/>
                <w:sz w:val="21"/>
                <w:szCs w:val="21"/>
              </w:rPr>
            </w:pPr>
          </w:p>
          <w:p>
            <w:pPr>
              <w:pStyle w:val="2"/>
              <w:rPr>
                <w:color w:val="FF0000"/>
                <w:sz w:val="21"/>
                <w:szCs w:val="21"/>
              </w:rPr>
            </w:pPr>
          </w:p>
          <w:p>
            <w:pPr>
              <w:pStyle w:val="2"/>
              <w:rPr>
                <w:color w:val="FF0000"/>
                <w:sz w:val="21"/>
                <w:szCs w:val="21"/>
              </w:rPr>
            </w:pPr>
          </w:p>
          <w:p>
            <w:pPr>
              <w:pStyle w:val="2"/>
              <w:rPr>
                <w:color w:val="FF0000"/>
                <w:sz w:val="21"/>
                <w:szCs w:val="21"/>
              </w:rPr>
            </w:pPr>
          </w:p>
          <w:p>
            <w:pPr>
              <w:pStyle w:val="2"/>
              <w:ind w:firstLine="0" w:firstLineChars="0"/>
              <w:rPr>
                <w:color w:val="FF0000"/>
                <w:sz w:val="21"/>
                <w:szCs w:val="21"/>
              </w:rPr>
            </w:pPr>
          </w:p>
          <w:p>
            <w:pPr>
              <w:pStyle w:val="2"/>
              <w:ind w:firstLine="0" w:firstLineChars="0"/>
              <w:rPr>
                <w:color w:val="FF0000"/>
                <w:sz w:val="21"/>
                <w:szCs w:val="21"/>
              </w:rPr>
            </w:pPr>
          </w:p>
        </w:tc>
      </w:tr>
    </w:tbl>
    <w:p>
      <w:pPr>
        <w:pStyle w:val="4"/>
        <w:tabs>
          <w:tab w:val="left" w:pos="7275"/>
        </w:tabs>
        <w:spacing w:beforeLines="50" w:afterLines="50" w:line="240" w:lineRule="auto"/>
        <w:rPr>
          <w:sz w:val="28"/>
          <w:szCs w:val="28"/>
        </w:rPr>
      </w:pPr>
      <w:r>
        <w:rPr>
          <w:sz w:val="28"/>
          <w:szCs w:val="28"/>
        </w:rPr>
        <w:br w:type="page"/>
      </w:r>
      <w:bookmarkStart w:id="5" w:name="_Toc4884"/>
      <w:r>
        <w:rPr>
          <w:sz w:val="28"/>
          <w:szCs w:val="28"/>
        </w:rPr>
        <w:t>表</w:t>
      </w:r>
      <w:r>
        <w:rPr>
          <w:rFonts w:hint="eastAsia"/>
          <w:sz w:val="28"/>
          <w:szCs w:val="28"/>
        </w:rPr>
        <w:t>四工况概况</w:t>
      </w:r>
      <w:r>
        <w:rPr>
          <w:sz w:val="28"/>
          <w:szCs w:val="28"/>
        </w:rPr>
        <w:t>（附示意图）</w:t>
      </w:r>
      <w:bookmarkEnd w:id="1"/>
      <w:bookmarkEnd w:id="2"/>
      <w:bookmarkEnd w:id="5"/>
    </w:p>
    <w:tbl>
      <w:tblPr>
        <w:tblStyle w:val="33"/>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6" w:hRule="atLeast"/>
          <w:jc w:val="center"/>
        </w:trPr>
        <w:tc>
          <w:tcPr>
            <w:tcW w:w="8032" w:type="dxa"/>
            <w:tcBorders>
              <w:top w:val="single" w:color="auto" w:sz="12" w:space="0"/>
              <w:left w:val="single" w:color="auto" w:sz="12" w:space="0"/>
              <w:bottom w:val="single" w:color="auto" w:sz="12" w:space="0"/>
              <w:right w:val="single" w:color="auto" w:sz="12" w:space="0"/>
            </w:tcBorders>
            <w:shd w:val="clear" w:color="auto" w:fill="auto"/>
            <w:vAlign w:val="center"/>
          </w:tcPr>
          <w:p>
            <w:pPr>
              <w:spacing w:line="360" w:lineRule="auto"/>
              <w:ind w:right="-71" w:rightChars="-34"/>
              <w:rPr>
                <w:b/>
                <w:szCs w:val="21"/>
              </w:rPr>
            </w:pPr>
            <w:r>
              <w:rPr>
                <w:rFonts w:hint="eastAsia"/>
                <w:b/>
                <w:szCs w:val="21"/>
              </w:rPr>
              <w:t>4.1工程建设内容</w:t>
            </w:r>
          </w:p>
          <w:p>
            <w:pPr>
              <w:spacing w:line="416" w:lineRule="auto"/>
              <w:ind w:firstLine="420" w:firstLineChars="200"/>
              <w:rPr>
                <w:color w:val="000000"/>
                <w:szCs w:val="21"/>
              </w:rPr>
            </w:pPr>
            <w:r>
              <w:rPr>
                <w:rFonts w:hint="eastAsia"/>
                <w:color w:val="000000"/>
                <w:szCs w:val="21"/>
              </w:rPr>
              <w:t>本项目位于睢宁县高作镇官杨村。</w:t>
            </w:r>
            <w:r>
              <w:rPr>
                <w:rFonts w:hint="eastAsia"/>
                <w:szCs w:val="21"/>
              </w:rPr>
              <w:t>本项目为满足风电场电力输出需求，配套建设1座110kV升压站，主变容量为50MVA，电压等级为110/35kV。升压站内拟建1座事故油池，油池容积为40m³。</w:t>
            </w:r>
          </w:p>
          <w:p>
            <w:pPr>
              <w:spacing w:line="416" w:lineRule="auto"/>
              <w:ind w:firstLine="420" w:firstLineChars="200"/>
              <w:rPr>
                <w:color w:val="000000" w:themeColor="text1"/>
                <w:szCs w:val="21"/>
              </w:rPr>
            </w:pPr>
            <w:r>
              <w:rPr>
                <w:rFonts w:hint="eastAsia"/>
                <w:bCs/>
                <w:szCs w:val="21"/>
              </w:rPr>
              <w:t>华润新能源（睢宁）有限公司成立于2019年7月12日，其主营业务为太阳能发电、风力发电、生物质能发电、新能源发电工程开发、设计、建成、运营及电力销售：新能源发电技术推广服务等。该公司投资2781.4万元人民币于睢宁县高作镇官杨村建设华润新能源（睢宁）有限公司一期风电项目配套110kV升压站工程</w:t>
            </w:r>
            <w:r>
              <w:rPr>
                <w:bCs/>
                <w:szCs w:val="21"/>
              </w:rPr>
              <w:t>，</w:t>
            </w:r>
            <w:r>
              <w:rPr>
                <w:rFonts w:hint="eastAsia"/>
                <w:bCs/>
                <w:szCs w:val="21"/>
              </w:rPr>
              <w:t>建设主要内容为：新建1座110KV升压站和升压站内拟建1座事故油池，油池容积为40m³；升压站运行时产生工频电场、工频磁场及噪声影响</w:t>
            </w:r>
            <w:r>
              <w:rPr>
                <w:rFonts w:hint="eastAsia"/>
                <w:bCs/>
                <w:color w:val="000000" w:themeColor="text1"/>
                <w:szCs w:val="21"/>
              </w:rPr>
              <w:t>。</w:t>
            </w:r>
            <w:r>
              <w:rPr>
                <w:rFonts w:hint="eastAsia"/>
                <w:color w:val="000000" w:themeColor="text1"/>
                <w:szCs w:val="21"/>
              </w:rPr>
              <w:t>公司于2</w:t>
            </w:r>
            <w:r>
              <w:rPr>
                <w:color w:val="000000" w:themeColor="text1"/>
                <w:szCs w:val="21"/>
              </w:rPr>
              <w:t>0</w:t>
            </w:r>
            <w:r>
              <w:rPr>
                <w:rFonts w:hint="eastAsia"/>
                <w:color w:val="000000" w:themeColor="text1"/>
                <w:szCs w:val="21"/>
              </w:rPr>
              <w:t>20年7月份委托江苏玖清蓝环保科技有限公司编制了《华润新能源（睢宁）有限公司一期风电项目配套110kV升压站工程环境影响报告表》，该项目于2</w:t>
            </w:r>
            <w:r>
              <w:rPr>
                <w:color w:val="000000" w:themeColor="text1"/>
                <w:szCs w:val="21"/>
              </w:rPr>
              <w:t>0</w:t>
            </w:r>
            <w:r>
              <w:rPr>
                <w:rFonts w:hint="eastAsia"/>
                <w:color w:val="000000" w:themeColor="text1"/>
                <w:szCs w:val="21"/>
              </w:rPr>
              <w:t>20年8月11日</w:t>
            </w:r>
            <w:r>
              <w:rPr>
                <w:rFonts w:hint="eastAsia"/>
                <w:b w:val="0"/>
                <w:bCs w:val="0"/>
                <w:color w:val="000000" w:themeColor="text1"/>
                <w:szCs w:val="21"/>
              </w:rPr>
              <w:t>通过徐州市生态环境局（徐环辐</w:t>
            </w:r>
            <w:r>
              <w:rPr>
                <w:rFonts w:hint="eastAsia"/>
                <w:b w:val="0"/>
                <w:bCs w:val="0"/>
                <w:color w:val="000000" w:themeColor="text1"/>
                <w:szCs w:val="21"/>
                <w:lang w:eastAsia="zh-CN"/>
              </w:rPr>
              <w:t>（</w:t>
            </w:r>
            <w:r>
              <w:rPr>
                <w:rFonts w:hint="eastAsia"/>
                <w:b w:val="0"/>
                <w:bCs w:val="0"/>
                <w:color w:val="000000" w:themeColor="text1"/>
                <w:szCs w:val="21"/>
              </w:rPr>
              <w:t>表</w:t>
            </w:r>
            <w:r>
              <w:rPr>
                <w:rFonts w:hint="eastAsia"/>
                <w:b w:val="0"/>
                <w:bCs w:val="0"/>
                <w:color w:val="000000" w:themeColor="text1"/>
                <w:szCs w:val="21"/>
                <w:lang w:eastAsia="zh-CN"/>
              </w:rPr>
              <w:t>）</w:t>
            </w:r>
            <w:r>
              <w:rPr>
                <w:rFonts w:hint="eastAsia"/>
                <w:b w:val="0"/>
                <w:bCs w:val="0"/>
                <w:color w:val="000000" w:themeColor="text1"/>
                <w:szCs w:val="21"/>
                <w:lang w:val="en-US" w:eastAsia="zh-CN"/>
              </w:rPr>
              <w:t>审</w:t>
            </w:r>
            <w:r>
              <w:rPr>
                <w:rFonts w:hint="eastAsia"/>
                <w:b w:val="0"/>
                <w:bCs w:val="0"/>
                <w:color w:val="000000" w:themeColor="text1"/>
                <w:szCs w:val="21"/>
              </w:rPr>
              <w:t>【2020】029号）</w:t>
            </w:r>
            <w:r>
              <w:rPr>
                <w:rFonts w:hint="eastAsia"/>
                <w:color w:val="000000" w:themeColor="text1"/>
                <w:szCs w:val="21"/>
              </w:rPr>
              <w:t>，本项目110kV升压站运行时产生工频电场、工频磁场及噪声影响。项目投资概算为2781.4万元人民币，其中环保投资38万人民币，占总投资比例为1.37%；实际总投资2781.4万元人民币，其中环保投资约38万元，占总投资比例为1.37%。</w:t>
            </w:r>
          </w:p>
          <w:p>
            <w:pPr>
              <w:spacing w:line="360" w:lineRule="auto"/>
              <w:ind w:firstLine="420" w:firstLineChars="200"/>
              <w:rPr>
                <w:color w:val="000000" w:themeColor="text1"/>
                <w:szCs w:val="21"/>
              </w:rPr>
            </w:pPr>
            <w:r>
              <w:rPr>
                <w:rFonts w:hint="eastAsia"/>
                <w:color w:val="000000" w:themeColor="text1"/>
                <w:szCs w:val="21"/>
              </w:rPr>
              <w:t>本项目不设置固定人员。</w:t>
            </w:r>
          </w:p>
          <w:p>
            <w:pPr>
              <w:spacing w:line="360" w:lineRule="auto"/>
              <w:ind w:firstLine="420" w:firstLineChars="200"/>
              <w:rPr>
                <w:szCs w:val="21"/>
              </w:rPr>
            </w:pPr>
            <w:r>
              <w:rPr>
                <w:rFonts w:hint="eastAsia"/>
                <w:szCs w:val="21"/>
              </w:rPr>
              <w:t>本项目产品方案见表4.1-1，能源消耗情况见表4.1-2。</w:t>
            </w:r>
          </w:p>
          <w:p>
            <w:pPr>
              <w:jc w:val="center"/>
              <w:rPr>
                <w:szCs w:val="21"/>
              </w:rPr>
            </w:pPr>
            <w:r>
              <w:rPr>
                <w:rFonts w:hint="eastAsia"/>
                <w:szCs w:val="21"/>
              </w:rPr>
              <w:t>表4.1-1 项目产品方案表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4"/>
              <w:gridCol w:w="932"/>
              <w:gridCol w:w="2360"/>
              <w:gridCol w:w="2439"/>
              <w:gridCol w:w="1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639" w:type="dxa"/>
                  <w:vAlign w:val="center"/>
                </w:tcPr>
                <w:p>
                  <w:pPr>
                    <w:jc w:val="center"/>
                    <w:rPr>
                      <w:szCs w:val="21"/>
                    </w:rPr>
                  </w:pPr>
                  <w:r>
                    <w:rPr>
                      <w:szCs w:val="21"/>
                    </w:rPr>
                    <w:t>主体工程</w:t>
                  </w:r>
                </w:p>
              </w:tc>
              <w:tc>
                <w:tcPr>
                  <w:tcW w:w="759" w:type="dxa"/>
                  <w:vAlign w:val="center"/>
                </w:tcPr>
                <w:p>
                  <w:pPr>
                    <w:jc w:val="center"/>
                    <w:rPr>
                      <w:szCs w:val="21"/>
                    </w:rPr>
                  </w:pPr>
                  <w:r>
                    <w:rPr>
                      <w:szCs w:val="21"/>
                    </w:rPr>
                    <w:t>产品名称</w:t>
                  </w:r>
                </w:p>
              </w:tc>
              <w:tc>
                <w:tcPr>
                  <w:tcW w:w="1922" w:type="dxa"/>
                  <w:vAlign w:val="center"/>
                </w:tcPr>
                <w:p>
                  <w:pPr>
                    <w:jc w:val="center"/>
                    <w:rPr>
                      <w:szCs w:val="21"/>
                    </w:rPr>
                  </w:pPr>
                  <w:r>
                    <w:rPr>
                      <w:szCs w:val="21"/>
                    </w:rPr>
                    <w:t>设计能力</w:t>
                  </w:r>
                </w:p>
              </w:tc>
              <w:tc>
                <w:tcPr>
                  <w:tcW w:w="1986" w:type="dxa"/>
                  <w:vAlign w:val="center"/>
                </w:tcPr>
                <w:p>
                  <w:pPr>
                    <w:jc w:val="center"/>
                    <w:rPr>
                      <w:szCs w:val="21"/>
                    </w:rPr>
                  </w:pPr>
                  <w:r>
                    <w:rPr>
                      <w:rFonts w:hint="eastAsia"/>
                      <w:szCs w:val="21"/>
                    </w:rPr>
                    <w:t>实际能力</w:t>
                  </w:r>
                </w:p>
              </w:tc>
              <w:tc>
                <w:tcPr>
                  <w:tcW w:w="1510" w:type="dxa"/>
                  <w:vAlign w:val="center"/>
                </w:tcPr>
                <w:p>
                  <w:pPr>
                    <w:jc w:val="center"/>
                    <w:rPr>
                      <w:szCs w:val="21"/>
                    </w:rPr>
                  </w:pPr>
                  <w:r>
                    <w:rPr>
                      <w:szCs w:val="21"/>
                    </w:rPr>
                    <w:t>年运行时数（h）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639" w:type="dxa"/>
                  <w:vAlign w:val="center"/>
                </w:tcPr>
                <w:p>
                  <w:pPr>
                    <w:jc w:val="center"/>
                    <w:rPr>
                      <w:szCs w:val="21"/>
                    </w:rPr>
                  </w:pPr>
                  <w:r>
                    <w:rPr>
                      <w:rFonts w:hint="eastAsia"/>
                      <w:szCs w:val="21"/>
                    </w:rPr>
                    <w:t>110kV升压站</w:t>
                  </w:r>
                </w:p>
              </w:tc>
              <w:tc>
                <w:tcPr>
                  <w:tcW w:w="759" w:type="dxa"/>
                  <w:vAlign w:val="center"/>
                </w:tcPr>
                <w:p>
                  <w:pPr>
                    <w:jc w:val="center"/>
                    <w:rPr>
                      <w:szCs w:val="21"/>
                    </w:rPr>
                  </w:pPr>
                  <w:r>
                    <w:rPr>
                      <w:rFonts w:hint="eastAsia"/>
                      <w:szCs w:val="21"/>
                    </w:rPr>
                    <w:t>电</w:t>
                  </w:r>
                </w:p>
              </w:tc>
              <w:tc>
                <w:tcPr>
                  <w:tcW w:w="1922" w:type="dxa"/>
                  <w:vAlign w:val="center"/>
                </w:tcPr>
                <w:p>
                  <w:pPr>
                    <w:jc w:val="center"/>
                    <w:rPr>
                      <w:spacing w:val="8"/>
                      <w:szCs w:val="21"/>
                    </w:rPr>
                  </w:pPr>
                  <w:r>
                    <w:rPr>
                      <w:rFonts w:hint="eastAsia"/>
                      <w:spacing w:val="8"/>
                      <w:szCs w:val="21"/>
                    </w:rPr>
                    <w:t>主变量50MVA，电压等级110/35kV</w:t>
                  </w:r>
                </w:p>
              </w:tc>
              <w:tc>
                <w:tcPr>
                  <w:tcW w:w="1986" w:type="dxa"/>
                  <w:vAlign w:val="center"/>
                </w:tcPr>
                <w:p>
                  <w:pPr>
                    <w:jc w:val="center"/>
                    <w:rPr>
                      <w:spacing w:val="8"/>
                      <w:szCs w:val="21"/>
                    </w:rPr>
                  </w:pPr>
                  <w:r>
                    <w:rPr>
                      <w:rFonts w:hint="eastAsia"/>
                      <w:spacing w:val="8"/>
                      <w:szCs w:val="21"/>
                    </w:rPr>
                    <w:t>主变量50MVA，电压等级110/35kV</w:t>
                  </w:r>
                </w:p>
              </w:tc>
              <w:tc>
                <w:tcPr>
                  <w:tcW w:w="1510" w:type="dxa"/>
                  <w:vAlign w:val="center"/>
                </w:tcPr>
                <w:p>
                  <w:pPr>
                    <w:jc w:val="center"/>
                    <w:rPr>
                      <w:spacing w:val="8"/>
                      <w:szCs w:val="21"/>
                    </w:rPr>
                  </w:pPr>
                  <w:r>
                    <w:rPr>
                      <w:rFonts w:hint="eastAsia"/>
                      <w:spacing w:val="8"/>
                      <w:szCs w:val="21"/>
                    </w:rPr>
                    <w:t>8760</w:t>
                  </w:r>
                </w:p>
              </w:tc>
            </w:tr>
          </w:tbl>
          <w:p>
            <w:pPr>
              <w:jc w:val="center"/>
              <w:rPr>
                <w:szCs w:val="21"/>
              </w:rPr>
            </w:pPr>
            <w:r>
              <w:rPr>
                <w:rFonts w:hint="eastAsia"/>
                <w:szCs w:val="21"/>
              </w:rPr>
              <w:t>表4.1-2 项目能源消耗情况表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3565"/>
              <w:gridCol w:w="31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77" w:type="pct"/>
                  <w:vAlign w:val="center"/>
                </w:tcPr>
                <w:p>
                  <w:pPr>
                    <w:jc w:val="center"/>
                    <w:rPr>
                      <w:szCs w:val="21"/>
                    </w:rPr>
                  </w:pPr>
                  <w:r>
                    <w:rPr>
                      <w:szCs w:val="21"/>
                    </w:rPr>
                    <w:t>名称</w:t>
                  </w:r>
                </w:p>
              </w:tc>
              <w:tc>
                <w:tcPr>
                  <w:tcW w:w="1857" w:type="pct"/>
                  <w:vAlign w:val="center"/>
                </w:tcPr>
                <w:p>
                  <w:pPr>
                    <w:jc w:val="center"/>
                    <w:rPr>
                      <w:szCs w:val="21"/>
                    </w:rPr>
                  </w:pPr>
                  <w:r>
                    <w:rPr>
                      <w:szCs w:val="21"/>
                    </w:rPr>
                    <w:t>环评消耗量</w:t>
                  </w:r>
                </w:p>
              </w:tc>
              <w:tc>
                <w:tcPr>
                  <w:tcW w:w="1666" w:type="pct"/>
                  <w:vAlign w:val="center"/>
                </w:tcPr>
                <w:p>
                  <w:pPr>
                    <w:jc w:val="center"/>
                    <w:rPr>
                      <w:szCs w:val="21"/>
                    </w:rPr>
                  </w:pPr>
                  <w:r>
                    <w:rPr>
                      <w:rFonts w:hint="eastAsia"/>
                      <w:szCs w:val="21"/>
                    </w:rPr>
                    <w:t>调试期间消耗量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477" w:type="pct"/>
                  <w:vAlign w:val="center"/>
                </w:tcPr>
                <w:p>
                  <w:pPr>
                    <w:jc w:val="center"/>
                    <w:rPr>
                      <w:szCs w:val="21"/>
                    </w:rPr>
                  </w:pPr>
                  <w:r>
                    <w:rPr>
                      <w:szCs w:val="21"/>
                    </w:rPr>
                    <w:t>水（吨/年）</w:t>
                  </w:r>
                </w:p>
              </w:tc>
              <w:tc>
                <w:tcPr>
                  <w:tcW w:w="1857" w:type="pct"/>
                  <w:vAlign w:val="center"/>
                </w:tcPr>
                <w:p>
                  <w:pPr>
                    <w:jc w:val="center"/>
                    <w:rPr>
                      <w:szCs w:val="21"/>
                    </w:rPr>
                  </w:pPr>
                  <w:r>
                    <w:rPr>
                      <w:rFonts w:hint="eastAsia"/>
                      <w:szCs w:val="21"/>
                    </w:rPr>
                    <w:t>少量</w:t>
                  </w:r>
                </w:p>
              </w:tc>
              <w:tc>
                <w:tcPr>
                  <w:tcW w:w="1666" w:type="pct"/>
                  <w:vAlign w:val="center"/>
                </w:tcPr>
                <w:p>
                  <w:pPr>
                    <w:jc w:val="center"/>
                    <w:rPr>
                      <w:szCs w:val="21"/>
                      <w:highlight w:val="yellow"/>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477" w:type="pct"/>
                  <w:vAlign w:val="center"/>
                </w:tcPr>
                <w:p>
                  <w:pPr>
                    <w:jc w:val="center"/>
                    <w:rPr>
                      <w:szCs w:val="21"/>
                    </w:rPr>
                  </w:pPr>
                  <w:r>
                    <w:rPr>
                      <w:szCs w:val="21"/>
                    </w:rPr>
                    <w:t>电（千瓦时/年）</w:t>
                  </w:r>
                </w:p>
              </w:tc>
              <w:tc>
                <w:tcPr>
                  <w:tcW w:w="1857" w:type="pct"/>
                  <w:vAlign w:val="center"/>
                </w:tcPr>
                <w:p>
                  <w:pPr>
                    <w:jc w:val="center"/>
                    <w:rPr>
                      <w:szCs w:val="21"/>
                    </w:rPr>
                  </w:pPr>
                  <w:r>
                    <w:rPr>
                      <w:rFonts w:hint="eastAsia"/>
                      <w:szCs w:val="21"/>
                    </w:rPr>
                    <w:t>少量</w:t>
                  </w:r>
                </w:p>
              </w:tc>
              <w:tc>
                <w:tcPr>
                  <w:tcW w:w="1666" w:type="pct"/>
                  <w:vAlign w:val="center"/>
                </w:tcPr>
                <w:p>
                  <w:pPr>
                    <w:jc w:val="center"/>
                    <w:rPr>
                      <w:szCs w:val="21"/>
                      <w:highlight w:val="yellow"/>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477" w:type="pct"/>
                  <w:vAlign w:val="center"/>
                </w:tcPr>
                <w:p>
                  <w:pPr>
                    <w:jc w:val="center"/>
                    <w:rPr>
                      <w:szCs w:val="21"/>
                    </w:rPr>
                  </w:pPr>
                  <w:r>
                    <w:rPr>
                      <w:szCs w:val="21"/>
                    </w:rPr>
                    <w:t>燃气（标立方米/年）</w:t>
                  </w:r>
                </w:p>
              </w:tc>
              <w:tc>
                <w:tcPr>
                  <w:tcW w:w="1857" w:type="pct"/>
                  <w:vAlign w:val="center"/>
                </w:tcPr>
                <w:p>
                  <w:pPr>
                    <w:jc w:val="center"/>
                    <w:rPr>
                      <w:szCs w:val="21"/>
                    </w:rPr>
                  </w:pPr>
                  <w:r>
                    <w:rPr>
                      <w:rFonts w:hint="eastAsia"/>
                      <w:szCs w:val="21"/>
                    </w:rPr>
                    <w:t>/</w:t>
                  </w:r>
                </w:p>
              </w:tc>
              <w:tc>
                <w:tcPr>
                  <w:tcW w:w="1666" w:type="pct"/>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477" w:type="pct"/>
                  <w:vAlign w:val="center"/>
                </w:tcPr>
                <w:p>
                  <w:pPr>
                    <w:jc w:val="center"/>
                    <w:rPr>
                      <w:szCs w:val="21"/>
                    </w:rPr>
                  </w:pPr>
                  <w:r>
                    <w:rPr>
                      <w:szCs w:val="21"/>
                    </w:rPr>
                    <w:t>燃油（吨/年）</w:t>
                  </w:r>
                </w:p>
              </w:tc>
              <w:tc>
                <w:tcPr>
                  <w:tcW w:w="1857" w:type="pct"/>
                  <w:vAlign w:val="center"/>
                </w:tcPr>
                <w:p>
                  <w:pPr>
                    <w:jc w:val="center"/>
                    <w:rPr>
                      <w:szCs w:val="21"/>
                    </w:rPr>
                  </w:pPr>
                  <w:r>
                    <w:rPr>
                      <w:rFonts w:hint="eastAsia"/>
                      <w:szCs w:val="21"/>
                    </w:rPr>
                    <w:t>/</w:t>
                  </w:r>
                </w:p>
              </w:tc>
              <w:tc>
                <w:tcPr>
                  <w:tcW w:w="1666" w:type="pct"/>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477" w:type="pct"/>
                  <w:vAlign w:val="center"/>
                </w:tcPr>
                <w:p>
                  <w:pPr>
                    <w:jc w:val="center"/>
                    <w:rPr>
                      <w:szCs w:val="21"/>
                    </w:rPr>
                  </w:pPr>
                  <w:r>
                    <w:rPr>
                      <w:szCs w:val="21"/>
                    </w:rPr>
                    <w:t>燃煤（吨/年）</w:t>
                  </w:r>
                </w:p>
              </w:tc>
              <w:tc>
                <w:tcPr>
                  <w:tcW w:w="1857" w:type="pct"/>
                  <w:vAlign w:val="center"/>
                </w:tcPr>
                <w:p>
                  <w:pPr>
                    <w:jc w:val="center"/>
                    <w:rPr>
                      <w:szCs w:val="21"/>
                    </w:rPr>
                  </w:pPr>
                  <w:r>
                    <w:rPr>
                      <w:rFonts w:hint="eastAsia"/>
                      <w:szCs w:val="21"/>
                    </w:rPr>
                    <w:t>/</w:t>
                  </w:r>
                </w:p>
              </w:tc>
              <w:tc>
                <w:tcPr>
                  <w:tcW w:w="1666" w:type="pct"/>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477" w:type="pct"/>
                  <w:vAlign w:val="center"/>
                </w:tcPr>
                <w:p>
                  <w:pPr>
                    <w:jc w:val="center"/>
                    <w:rPr>
                      <w:szCs w:val="21"/>
                    </w:rPr>
                  </w:pPr>
                  <w:r>
                    <w:rPr>
                      <w:szCs w:val="21"/>
                    </w:rPr>
                    <w:t>其它</w:t>
                  </w:r>
                </w:p>
              </w:tc>
              <w:tc>
                <w:tcPr>
                  <w:tcW w:w="1857" w:type="pct"/>
                  <w:vAlign w:val="center"/>
                </w:tcPr>
                <w:p>
                  <w:pPr>
                    <w:jc w:val="center"/>
                    <w:rPr>
                      <w:szCs w:val="21"/>
                    </w:rPr>
                  </w:pPr>
                  <w:r>
                    <w:rPr>
                      <w:rFonts w:hint="eastAsia"/>
                      <w:szCs w:val="21"/>
                    </w:rPr>
                    <w:t>/</w:t>
                  </w:r>
                </w:p>
              </w:tc>
              <w:tc>
                <w:tcPr>
                  <w:tcW w:w="1666" w:type="pct"/>
                  <w:vAlign w:val="center"/>
                </w:tcPr>
                <w:p>
                  <w:pPr>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477" w:type="pct"/>
                  <w:vAlign w:val="center"/>
                </w:tcPr>
                <w:p>
                  <w:pPr>
                    <w:jc w:val="center"/>
                    <w:rPr>
                      <w:szCs w:val="21"/>
                    </w:rPr>
                  </w:pPr>
                  <w:r>
                    <w:rPr>
                      <w:szCs w:val="21"/>
                    </w:rPr>
                    <w:t>备注</w:t>
                  </w:r>
                </w:p>
              </w:tc>
              <w:tc>
                <w:tcPr>
                  <w:tcW w:w="3523" w:type="pct"/>
                  <w:gridSpan w:val="2"/>
                  <w:vAlign w:val="center"/>
                </w:tcPr>
                <w:p>
                  <w:pPr>
                    <w:jc w:val="center"/>
                    <w:rPr>
                      <w:szCs w:val="21"/>
                    </w:rPr>
                  </w:pPr>
                  <w:r>
                    <w:rPr>
                      <w:rFonts w:hint="eastAsia"/>
                      <w:szCs w:val="21"/>
                    </w:rPr>
                    <w:t>/</w:t>
                  </w:r>
                </w:p>
              </w:tc>
            </w:tr>
          </w:tbl>
          <w:p>
            <w:pPr>
              <w:spacing w:line="360" w:lineRule="auto"/>
              <w:ind w:right="-71" w:rightChars="-34"/>
              <w:rPr>
                <w:b/>
                <w:szCs w:val="21"/>
              </w:rPr>
            </w:pPr>
          </w:p>
          <w:p>
            <w:pPr>
              <w:spacing w:line="360" w:lineRule="auto"/>
              <w:ind w:right="-71" w:rightChars="-34"/>
              <w:rPr>
                <w:b/>
                <w:szCs w:val="21"/>
              </w:rPr>
            </w:pPr>
          </w:p>
          <w:p>
            <w:pPr>
              <w:spacing w:line="360" w:lineRule="auto"/>
              <w:ind w:right="-71" w:rightChars="-34"/>
              <w:rPr>
                <w:b/>
                <w:szCs w:val="21"/>
              </w:rPr>
            </w:pPr>
          </w:p>
          <w:p>
            <w:pPr>
              <w:spacing w:line="360" w:lineRule="auto"/>
              <w:ind w:right="-71" w:rightChars="-34"/>
              <w:rPr>
                <w:b/>
                <w:szCs w:val="21"/>
              </w:rPr>
            </w:pPr>
          </w:p>
          <w:p>
            <w:pPr>
              <w:spacing w:line="360" w:lineRule="auto"/>
              <w:ind w:right="-71" w:rightChars="-34"/>
              <w:rPr>
                <w:b/>
                <w:szCs w:val="21"/>
              </w:rPr>
            </w:pPr>
          </w:p>
          <w:p>
            <w:pPr>
              <w:spacing w:line="360" w:lineRule="auto"/>
              <w:ind w:right="-71" w:rightChars="-34"/>
              <w:rPr>
                <w:b/>
                <w:szCs w:val="21"/>
              </w:rPr>
            </w:pPr>
          </w:p>
          <w:p>
            <w:pPr>
              <w:spacing w:line="360" w:lineRule="auto"/>
              <w:ind w:right="-71" w:rightChars="-34"/>
              <w:rPr>
                <w:b/>
                <w:szCs w:val="21"/>
              </w:rPr>
            </w:pPr>
          </w:p>
          <w:p>
            <w:pPr>
              <w:spacing w:line="360" w:lineRule="auto"/>
              <w:ind w:right="-71" w:rightChars="-34"/>
              <w:rPr>
                <w:b/>
                <w:szCs w:val="21"/>
              </w:rPr>
            </w:pPr>
            <w:r>
              <w:rPr>
                <w:rFonts w:hint="eastAsia"/>
                <w:b/>
                <w:szCs w:val="21"/>
              </w:rPr>
              <w:t>4</w:t>
            </w:r>
            <w:r>
              <w:rPr>
                <w:b/>
                <w:szCs w:val="21"/>
              </w:rPr>
              <w:t>.</w:t>
            </w:r>
            <w:r>
              <w:rPr>
                <w:rFonts w:hint="eastAsia"/>
                <w:b/>
                <w:szCs w:val="21"/>
              </w:rPr>
              <w:t>2</w:t>
            </w:r>
            <w:r>
              <w:rPr>
                <w:b/>
                <w:szCs w:val="21"/>
              </w:rPr>
              <w:t xml:space="preserve"> 主要生产工艺及污染物产出环节流程</w:t>
            </w:r>
          </w:p>
          <w:p>
            <w:pPr>
              <w:adjustRightInd w:val="0"/>
              <w:snapToGrid w:val="0"/>
              <w:spacing w:line="496" w:lineRule="exact"/>
              <w:ind w:firstLine="420" w:firstLineChars="200"/>
              <w:rPr>
                <w:szCs w:val="21"/>
              </w:rPr>
            </w:pPr>
            <w:r>
              <w:rPr>
                <w:rFonts w:hint="eastAsia"/>
                <w:szCs w:val="21"/>
              </w:rPr>
              <w:t>项目实际生产工艺同环评一致，见下图4.1。</w:t>
            </w:r>
          </w:p>
          <w:p>
            <w:pPr>
              <w:adjustRightInd w:val="0"/>
              <w:snapToGrid w:val="0"/>
              <w:spacing w:line="496" w:lineRule="exact"/>
              <w:ind w:firstLine="420" w:firstLineChars="200"/>
              <w:rPr>
                <w:szCs w:val="21"/>
              </w:rPr>
            </w:pPr>
            <w:r>
              <w:rPr>
                <w:szCs w:val="21"/>
              </w:rPr>
              <w:drawing>
                <wp:anchor distT="0" distB="0" distL="114300" distR="114300" simplePos="0" relativeHeight="251659264" behindDoc="1" locked="0" layoutInCell="1" allowOverlap="1">
                  <wp:simplePos x="0" y="0"/>
                  <wp:positionH relativeFrom="column">
                    <wp:posOffset>1240790</wp:posOffset>
                  </wp:positionH>
                  <wp:positionV relativeFrom="paragraph">
                    <wp:posOffset>159385</wp:posOffset>
                  </wp:positionV>
                  <wp:extent cx="3619500" cy="1143000"/>
                  <wp:effectExtent l="0" t="0" r="0" b="0"/>
                  <wp:wrapTight wrapText="bothSides">
                    <wp:wrapPolygon>
                      <wp:start x="0" y="0"/>
                      <wp:lineTo x="0" y="21240"/>
                      <wp:lineTo x="21486" y="21240"/>
                      <wp:lineTo x="21486" y="0"/>
                      <wp:lineTo x="0" y="0"/>
                    </wp:wrapPolygon>
                  </wp:wrapT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cstate="print"/>
                          <a:stretch>
                            <a:fillRect/>
                          </a:stretch>
                        </pic:blipFill>
                        <pic:spPr>
                          <a:xfrm>
                            <a:off x="0" y="0"/>
                            <a:ext cx="3619500" cy="1143000"/>
                          </a:xfrm>
                          <a:prstGeom prst="rect">
                            <a:avLst/>
                          </a:prstGeom>
                          <a:noFill/>
                          <a:ln>
                            <a:noFill/>
                          </a:ln>
                        </pic:spPr>
                      </pic:pic>
                    </a:graphicData>
                  </a:graphic>
                </wp:anchor>
              </w:drawing>
            </w:r>
          </w:p>
          <w:p>
            <w:pPr>
              <w:adjustRightInd w:val="0"/>
              <w:snapToGrid w:val="0"/>
              <w:spacing w:line="496" w:lineRule="exact"/>
              <w:rPr>
                <w:szCs w:val="21"/>
              </w:rPr>
            </w:pPr>
          </w:p>
          <w:p>
            <w:pPr>
              <w:adjustRightInd w:val="0"/>
              <w:snapToGrid w:val="0"/>
              <w:spacing w:line="496" w:lineRule="exact"/>
              <w:ind w:firstLine="420" w:firstLineChars="200"/>
              <w:rPr>
                <w:szCs w:val="21"/>
              </w:rPr>
            </w:pPr>
          </w:p>
          <w:p>
            <w:pPr>
              <w:spacing w:line="360" w:lineRule="auto"/>
              <w:rPr>
                <w:bCs/>
                <w:color w:val="000000" w:themeColor="text1"/>
                <w:szCs w:val="21"/>
              </w:rPr>
            </w:pPr>
          </w:p>
          <w:p>
            <w:pPr>
              <w:spacing w:line="360" w:lineRule="auto"/>
              <w:rPr>
                <w:bCs/>
                <w:color w:val="000000" w:themeColor="text1"/>
                <w:szCs w:val="21"/>
              </w:rPr>
            </w:pPr>
          </w:p>
          <w:p>
            <w:pPr>
              <w:spacing w:line="360" w:lineRule="auto"/>
              <w:jc w:val="center"/>
              <w:rPr>
                <w:bCs/>
                <w:color w:val="000000" w:themeColor="text1"/>
                <w:szCs w:val="21"/>
              </w:rPr>
            </w:pPr>
            <w:r>
              <w:rPr>
                <w:rFonts w:hint="eastAsia"/>
                <w:bCs/>
                <w:color w:val="000000" w:themeColor="text1"/>
                <w:szCs w:val="21"/>
              </w:rPr>
              <w:t>4.1升压站工艺流程及污染环节</w:t>
            </w:r>
          </w:p>
          <w:p>
            <w:pPr>
              <w:spacing w:line="416" w:lineRule="auto"/>
              <w:ind w:firstLine="420" w:firstLineChars="200"/>
              <w:rPr>
                <w:bCs/>
                <w:color w:val="000000" w:themeColor="text1"/>
                <w:szCs w:val="21"/>
              </w:rPr>
            </w:pPr>
            <w:r>
              <w:rPr>
                <w:rFonts w:hint="eastAsia"/>
                <w:bCs/>
                <w:color w:val="000000" w:themeColor="text1"/>
                <w:szCs w:val="21"/>
              </w:rPr>
              <w:t>升压站产污分析</w:t>
            </w:r>
            <w:r>
              <w:rPr>
                <w:bCs/>
                <w:color w:val="000000" w:themeColor="text1"/>
                <w:szCs w:val="21"/>
              </w:rPr>
              <w:t>：</w:t>
            </w:r>
          </w:p>
          <w:p>
            <w:pPr>
              <w:widowControl/>
              <w:spacing w:line="416" w:lineRule="auto"/>
              <w:ind w:firstLine="420" w:firstLineChars="200"/>
              <w:rPr>
                <w:szCs w:val="21"/>
              </w:rPr>
            </w:pPr>
            <w:r>
              <w:rPr>
                <w:rFonts w:hint="eastAsia" w:ascii="宋体" w:hAnsi="宋体" w:cs="宋体"/>
                <w:color w:val="000000"/>
                <w:kern w:val="0"/>
                <w:szCs w:val="21"/>
              </w:rPr>
              <w:t>升压站的运行中，会形成一定强度的工频电场、工频磁场。升压站的主变和高压配电装置在运行时，由于电压等级较高，带电结构中存在大量的电荷，因此会在周围产生一定强度的工频电场，同时由于电流的存在，在带电结构周围会产生交变的工频磁场。110kV升压站的主变压器会产生噪声。</w:t>
            </w:r>
          </w:p>
          <w:p>
            <w:pPr>
              <w:autoSpaceDE w:val="0"/>
              <w:autoSpaceDN w:val="0"/>
              <w:spacing w:line="360" w:lineRule="auto"/>
              <w:rPr>
                <w:b/>
                <w:szCs w:val="21"/>
              </w:rPr>
            </w:pPr>
            <w:r>
              <w:rPr>
                <w:rFonts w:hint="eastAsia"/>
                <w:b/>
                <w:szCs w:val="21"/>
              </w:rPr>
              <w:t>4</w:t>
            </w:r>
            <w:r>
              <w:rPr>
                <w:b/>
                <w:szCs w:val="21"/>
              </w:rPr>
              <w:t>.</w:t>
            </w:r>
            <w:r>
              <w:rPr>
                <w:rFonts w:hint="eastAsia"/>
                <w:b/>
                <w:szCs w:val="21"/>
              </w:rPr>
              <w:t xml:space="preserve">3  </w:t>
            </w:r>
            <w:r>
              <w:rPr>
                <w:b/>
                <w:szCs w:val="21"/>
              </w:rPr>
              <w:t>项目变动情况环境影响分析</w:t>
            </w:r>
          </w:p>
          <w:p>
            <w:pPr>
              <w:jc w:val="center"/>
              <w:rPr>
                <w:color w:val="000000" w:themeColor="text1"/>
                <w:szCs w:val="21"/>
              </w:rPr>
            </w:pPr>
            <w:r>
              <w:rPr>
                <w:rFonts w:hint="eastAsia"/>
                <w:color w:val="000000" w:themeColor="text1"/>
                <w:szCs w:val="21"/>
              </w:rPr>
              <w:t>表4.3项目变动情况一览表</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76"/>
              <w:gridCol w:w="4945"/>
              <w:gridCol w:w="377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456" w:type="pct"/>
                  <w:vAlign w:val="center"/>
                </w:tcPr>
                <w:p>
                  <w:pPr>
                    <w:jc w:val="center"/>
                    <w:rPr>
                      <w:szCs w:val="21"/>
                    </w:rPr>
                  </w:pPr>
                  <w:r>
                    <w:rPr>
                      <w:szCs w:val="21"/>
                    </w:rPr>
                    <w:t>类别</w:t>
                  </w:r>
                </w:p>
              </w:tc>
              <w:tc>
                <w:tcPr>
                  <w:tcW w:w="2575" w:type="pct"/>
                  <w:vAlign w:val="center"/>
                </w:tcPr>
                <w:p>
                  <w:pPr>
                    <w:jc w:val="center"/>
                    <w:rPr>
                      <w:szCs w:val="21"/>
                    </w:rPr>
                  </w:pPr>
                  <w:r>
                    <w:rPr>
                      <w:szCs w:val="21"/>
                    </w:rPr>
                    <w:t>苏环办〔20</w:t>
                  </w:r>
                  <w:r>
                    <w:rPr>
                      <w:rFonts w:hint="eastAsia"/>
                      <w:szCs w:val="21"/>
                    </w:rPr>
                    <w:t>20</w:t>
                  </w:r>
                  <w:r>
                    <w:rPr>
                      <w:szCs w:val="21"/>
                    </w:rPr>
                    <w:t>〕</w:t>
                  </w:r>
                  <w:r>
                    <w:rPr>
                      <w:rFonts w:hint="eastAsia"/>
                      <w:szCs w:val="21"/>
                    </w:rPr>
                    <w:t>688</w:t>
                  </w:r>
                  <w:r>
                    <w:rPr>
                      <w:szCs w:val="21"/>
                    </w:rPr>
                    <w:t>号文中重大变动清单</w:t>
                  </w:r>
                </w:p>
              </w:tc>
              <w:tc>
                <w:tcPr>
                  <w:tcW w:w="1968" w:type="pct"/>
                  <w:vAlign w:val="center"/>
                </w:tcPr>
                <w:p>
                  <w:pPr>
                    <w:jc w:val="center"/>
                    <w:rPr>
                      <w:szCs w:val="21"/>
                    </w:rPr>
                  </w:pPr>
                  <w:r>
                    <w:rPr>
                      <w:szCs w:val="21"/>
                    </w:rPr>
                    <w:t>本项目</w:t>
                  </w:r>
                  <w:r>
                    <w:rPr>
                      <w:rFonts w:hint="eastAsia"/>
                      <w:szCs w:val="21"/>
                    </w:rPr>
                    <w:t>变化</w:t>
                  </w:r>
                  <w:r>
                    <w:rPr>
                      <w:szCs w:val="21"/>
                    </w:rPr>
                    <w:t>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Align w:val="center"/>
                </w:tcPr>
                <w:p>
                  <w:pPr>
                    <w:jc w:val="center"/>
                    <w:rPr>
                      <w:szCs w:val="21"/>
                    </w:rPr>
                  </w:pPr>
                  <w:r>
                    <w:rPr>
                      <w:szCs w:val="21"/>
                    </w:rPr>
                    <w:t>性质</w:t>
                  </w:r>
                </w:p>
              </w:tc>
              <w:tc>
                <w:tcPr>
                  <w:tcW w:w="2575" w:type="pct"/>
                  <w:vAlign w:val="center"/>
                </w:tcPr>
                <w:p>
                  <w:pPr>
                    <w:jc w:val="left"/>
                    <w:rPr>
                      <w:szCs w:val="21"/>
                    </w:rPr>
                  </w:pPr>
                  <w:r>
                    <w:rPr>
                      <w:szCs w:val="21"/>
                    </w:rPr>
                    <w:t>1、主要产品品种发生变化（变少的除外）</w:t>
                  </w:r>
                </w:p>
              </w:tc>
              <w:tc>
                <w:tcPr>
                  <w:tcW w:w="1968" w:type="pct"/>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restart"/>
                  <w:vAlign w:val="center"/>
                </w:tcPr>
                <w:p>
                  <w:pPr>
                    <w:jc w:val="center"/>
                    <w:rPr>
                      <w:szCs w:val="21"/>
                    </w:rPr>
                  </w:pPr>
                  <w:r>
                    <w:rPr>
                      <w:szCs w:val="21"/>
                    </w:rPr>
                    <w:t>规模</w:t>
                  </w:r>
                </w:p>
              </w:tc>
              <w:tc>
                <w:tcPr>
                  <w:tcW w:w="2575" w:type="pct"/>
                  <w:vAlign w:val="center"/>
                </w:tcPr>
                <w:p>
                  <w:pPr>
                    <w:jc w:val="left"/>
                    <w:rPr>
                      <w:szCs w:val="21"/>
                    </w:rPr>
                  </w:pPr>
                  <w:r>
                    <w:rPr>
                      <w:szCs w:val="21"/>
                    </w:rPr>
                    <w:t>2、生产能力增加30%及以上</w:t>
                  </w:r>
                </w:p>
              </w:tc>
              <w:tc>
                <w:tcPr>
                  <w:tcW w:w="1968" w:type="pct"/>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jc w:val="center"/>
                    <w:rPr>
                      <w:szCs w:val="21"/>
                    </w:rPr>
                  </w:pPr>
                </w:p>
              </w:tc>
              <w:tc>
                <w:tcPr>
                  <w:tcW w:w="2575" w:type="pct"/>
                  <w:vAlign w:val="center"/>
                </w:tcPr>
                <w:p>
                  <w:pPr>
                    <w:jc w:val="left"/>
                    <w:rPr>
                      <w:szCs w:val="21"/>
                    </w:rPr>
                  </w:pPr>
                  <w:r>
                    <w:rPr>
                      <w:szCs w:val="21"/>
                    </w:rPr>
                    <w:t>3、配套的仓储设施（储存危险化学品或其他环境风险大的物品）总储存量容量增加30%及以上</w:t>
                  </w:r>
                </w:p>
              </w:tc>
              <w:tc>
                <w:tcPr>
                  <w:tcW w:w="1968" w:type="pct"/>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jc w:val="center"/>
                    <w:rPr>
                      <w:szCs w:val="21"/>
                    </w:rPr>
                  </w:pPr>
                </w:p>
              </w:tc>
              <w:tc>
                <w:tcPr>
                  <w:tcW w:w="2575" w:type="pct"/>
                  <w:vAlign w:val="center"/>
                </w:tcPr>
                <w:p>
                  <w:pPr>
                    <w:jc w:val="left"/>
                    <w:rPr>
                      <w:szCs w:val="21"/>
                    </w:rPr>
                  </w:pPr>
                  <w:r>
                    <w:rPr>
                      <w:szCs w:val="21"/>
                    </w:rPr>
                    <w:t>4、新增生产装置，导致新增污染因子或污染物排放量增加；原有生产装置规模增加30%及以上，导致新增污染因子或污染物排放量增加</w:t>
                  </w:r>
                </w:p>
              </w:tc>
              <w:tc>
                <w:tcPr>
                  <w:tcW w:w="1968" w:type="pct"/>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Align w:val="center"/>
                </w:tcPr>
                <w:p>
                  <w:pPr>
                    <w:jc w:val="center"/>
                    <w:rPr>
                      <w:szCs w:val="21"/>
                    </w:rPr>
                  </w:pPr>
                  <w:r>
                    <w:rPr>
                      <w:szCs w:val="21"/>
                    </w:rPr>
                    <w:t>地点</w:t>
                  </w:r>
                </w:p>
              </w:tc>
              <w:tc>
                <w:tcPr>
                  <w:tcW w:w="2575" w:type="pct"/>
                  <w:vAlign w:val="center"/>
                </w:tcPr>
                <w:p>
                  <w:pPr>
                    <w:jc w:val="left"/>
                    <w:rPr>
                      <w:szCs w:val="21"/>
                    </w:rPr>
                  </w:pPr>
                  <w:r>
                    <w:rPr>
                      <w:szCs w:val="21"/>
                    </w:rPr>
                    <w:t>5、项目重新选址</w:t>
                  </w:r>
                </w:p>
              </w:tc>
              <w:tc>
                <w:tcPr>
                  <w:tcW w:w="1968" w:type="pct"/>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restart"/>
                  <w:vAlign w:val="center"/>
                </w:tcPr>
                <w:p>
                  <w:pPr>
                    <w:jc w:val="center"/>
                    <w:rPr>
                      <w:szCs w:val="21"/>
                    </w:rPr>
                  </w:pPr>
                  <w:r>
                    <w:rPr>
                      <w:szCs w:val="21"/>
                    </w:rPr>
                    <w:t>生产</w:t>
                  </w:r>
                </w:p>
                <w:p>
                  <w:pPr>
                    <w:jc w:val="center"/>
                    <w:rPr>
                      <w:szCs w:val="21"/>
                    </w:rPr>
                  </w:pPr>
                  <w:r>
                    <w:rPr>
                      <w:szCs w:val="21"/>
                    </w:rPr>
                    <w:t>工艺</w:t>
                  </w:r>
                </w:p>
              </w:tc>
              <w:tc>
                <w:tcPr>
                  <w:tcW w:w="2575" w:type="pct"/>
                  <w:vAlign w:val="center"/>
                </w:tcPr>
                <w:p>
                  <w:pPr>
                    <w:jc w:val="left"/>
                    <w:rPr>
                      <w:szCs w:val="21"/>
                    </w:rPr>
                  </w:pPr>
                  <w:r>
                    <w:rPr>
                      <w:szCs w:val="21"/>
                    </w:rPr>
                    <w:t>6、</w:t>
                  </w:r>
                  <w:r>
                    <w:rPr>
                      <w:rFonts w:hint="eastAsia"/>
                      <w:szCs w:val="21"/>
                    </w:rPr>
                    <w:t>新增产品品种或生产工艺</w:t>
                  </w:r>
                </w:p>
              </w:tc>
              <w:tc>
                <w:tcPr>
                  <w:tcW w:w="1968" w:type="pct"/>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jc w:val="center"/>
                    <w:rPr>
                      <w:szCs w:val="21"/>
                    </w:rPr>
                  </w:pPr>
                </w:p>
              </w:tc>
              <w:tc>
                <w:tcPr>
                  <w:tcW w:w="2575" w:type="pct"/>
                  <w:vAlign w:val="center"/>
                </w:tcPr>
                <w:p>
                  <w:pPr>
                    <w:jc w:val="left"/>
                    <w:rPr>
                      <w:szCs w:val="21"/>
                    </w:rPr>
                  </w:pPr>
                  <w:r>
                    <w:rPr>
                      <w:szCs w:val="21"/>
                    </w:rPr>
                    <w:t>7、</w:t>
                  </w:r>
                  <w:r>
                    <w:rPr>
                      <w:rFonts w:hint="eastAsia"/>
                      <w:szCs w:val="21"/>
                    </w:rPr>
                    <w:t>物料运输、装卸、贮存方式变化，导则大气污染物无组织排放量增长10%以上。</w:t>
                  </w:r>
                </w:p>
              </w:tc>
              <w:tc>
                <w:tcPr>
                  <w:tcW w:w="1968" w:type="pct"/>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restart"/>
                  <w:vAlign w:val="center"/>
                </w:tcPr>
                <w:p>
                  <w:pPr>
                    <w:jc w:val="center"/>
                    <w:rPr>
                      <w:szCs w:val="21"/>
                    </w:rPr>
                  </w:pPr>
                  <w:r>
                    <w:rPr>
                      <w:szCs w:val="21"/>
                    </w:rPr>
                    <w:t>环境保</w:t>
                  </w:r>
                </w:p>
                <w:p>
                  <w:pPr>
                    <w:jc w:val="center"/>
                    <w:rPr>
                      <w:szCs w:val="21"/>
                    </w:rPr>
                  </w:pPr>
                  <w:r>
                    <w:rPr>
                      <w:szCs w:val="21"/>
                    </w:rPr>
                    <w:t>护措施</w:t>
                  </w:r>
                </w:p>
              </w:tc>
              <w:tc>
                <w:tcPr>
                  <w:tcW w:w="2575" w:type="pct"/>
                  <w:vAlign w:val="center"/>
                </w:tcPr>
                <w:p>
                  <w:pPr>
                    <w:jc w:val="left"/>
                    <w:rPr>
                      <w:szCs w:val="21"/>
                    </w:rPr>
                  </w:pPr>
                  <w:r>
                    <w:rPr>
                      <w:rFonts w:hint="eastAsia"/>
                      <w:szCs w:val="21"/>
                    </w:rPr>
                    <w:t>8、废水、废气的防治措施发生改变</w:t>
                  </w:r>
                </w:p>
              </w:tc>
              <w:tc>
                <w:tcPr>
                  <w:tcW w:w="1968" w:type="pct"/>
                  <w:shd w:val="clear" w:color="auto" w:fill="auto"/>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rPr>
                      <w:szCs w:val="21"/>
                    </w:rPr>
                  </w:pPr>
                </w:p>
              </w:tc>
              <w:tc>
                <w:tcPr>
                  <w:tcW w:w="2575" w:type="pct"/>
                  <w:vAlign w:val="center"/>
                </w:tcPr>
                <w:p>
                  <w:pPr>
                    <w:jc w:val="left"/>
                    <w:rPr>
                      <w:szCs w:val="21"/>
                    </w:rPr>
                  </w:pPr>
                  <w:r>
                    <w:rPr>
                      <w:rFonts w:hint="eastAsia"/>
                      <w:szCs w:val="21"/>
                    </w:rPr>
                    <w:t>9、新增废气主要排放口、废水直接排放口</w:t>
                  </w:r>
                </w:p>
              </w:tc>
              <w:tc>
                <w:tcPr>
                  <w:tcW w:w="1968" w:type="pct"/>
                  <w:shd w:val="clear" w:color="auto" w:fill="auto"/>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rPr>
                      <w:szCs w:val="21"/>
                    </w:rPr>
                  </w:pPr>
                </w:p>
              </w:tc>
              <w:tc>
                <w:tcPr>
                  <w:tcW w:w="2575" w:type="pct"/>
                  <w:vAlign w:val="center"/>
                </w:tcPr>
                <w:p>
                  <w:pPr>
                    <w:jc w:val="left"/>
                    <w:rPr>
                      <w:szCs w:val="21"/>
                    </w:rPr>
                  </w:pPr>
                  <w:r>
                    <w:rPr>
                      <w:rFonts w:hint="eastAsia"/>
                      <w:szCs w:val="21"/>
                    </w:rPr>
                    <w:t>10、噪声、土壤剧哦地下水污染防治措施改变</w:t>
                  </w:r>
                </w:p>
              </w:tc>
              <w:tc>
                <w:tcPr>
                  <w:tcW w:w="1968" w:type="pct"/>
                  <w:shd w:val="clear" w:color="auto" w:fill="auto"/>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rPr>
                      <w:szCs w:val="21"/>
                    </w:rPr>
                  </w:pPr>
                </w:p>
              </w:tc>
              <w:tc>
                <w:tcPr>
                  <w:tcW w:w="2575" w:type="pct"/>
                  <w:vAlign w:val="center"/>
                </w:tcPr>
                <w:p>
                  <w:pPr>
                    <w:jc w:val="left"/>
                    <w:rPr>
                      <w:szCs w:val="21"/>
                    </w:rPr>
                  </w:pPr>
                  <w:r>
                    <w:rPr>
                      <w:rFonts w:hint="eastAsia"/>
                      <w:szCs w:val="21"/>
                    </w:rPr>
                    <w:t>11、固体废物利用处置方式由委外处置改为自行利用处置</w:t>
                  </w:r>
                </w:p>
              </w:tc>
              <w:tc>
                <w:tcPr>
                  <w:tcW w:w="1968" w:type="pct"/>
                  <w:shd w:val="clear" w:color="auto" w:fill="auto"/>
                  <w:vAlign w:val="center"/>
                </w:tcPr>
                <w:p>
                  <w:pPr>
                    <w:jc w:val="center"/>
                    <w:rPr>
                      <w:szCs w:val="21"/>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jc w:val="center"/>
                    <w:rPr>
                      <w:szCs w:val="21"/>
                    </w:rPr>
                  </w:pPr>
                </w:p>
              </w:tc>
              <w:tc>
                <w:tcPr>
                  <w:tcW w:w="2575" w:type="pct"/>
                  <w:vAlign w:val="center"/>
                </w:tcPr>
                <w:p>
                  <w:pPr>
                    <w:jc w:val="left"/>
                    <w:rPr>
                      <w:szCs w:val="21"/>
                    </w:rPr>
                  </w:pPr>
                  <w:r>
                    <w:rPr>
                      <w:szCs w:val="21"/>
                    </w:rPr>
                    <w:t>1</w:t>
                  </w:r>
                  <w:r>
                    <w:rPr>
                      <w:rFonts w:hint="eastAsia"/>
                      <w:szCs w:val="21"/>
                    </w:rPr>
                    <w:t>2、事故废水暂存能力或拦截设施变化，导致环境风险防范能力弱化或降低</w:t>
                  </w:r>
                </w:p>
              </w:tc>
              <w:tc>
                <w:tcPr>
                  <w:tcW w:w="1968" w:type="pct"/>
                  <w:vAlign w:val="center"/>
                </w:tcPr>
                <w:p>
                  <w:pPr>
                    <w:jc w:val="center"/>
                    <w:rPr>
                      <w:szCs w:val="21"/>
                      <w:lang w:val="zh-CN"/>
                    </w:rPr>
                  </w:pPr>
                  <w:r>
                    <w:rPr>
                      <w:rFonts w:hint="eastAsia"/>
                      <w:szCs w:val="21"/>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Align w:val="center"/>
                </w:tcPr>
                <w:p>
                  <w:pPr>
                    <w:jc w:val="center"/>
                    <w:rPr>
                      <w:szCs w:val="21"/>
                    </w:rPr>
                  </w:pPr>
                  <w:r>
                    <w:rPr>
                      <w:szCs w:val="21"/>
                    </w:rPr>
                    <w:t>结论</w:t>
                  </w:r>
                </w:p>
              </w:tc>
              <w:tc>
                <w:tcPr>
                  <w:tcW w:w="4543" w:type="pct"/>
                  <w:gridSpan w:val="2"/>
                  <w:vAlign w:val="center"/>
                </w:tcPr>
                <w:p>
                  <w:pPr>
                    <w:jc w:val="center"/>
                    <w:rPr>
                      <w:szCs w:val="21"/>
                    </w:rPr>
                  </w:pPr>
                  <w:r>
                    <w:t>对照（</w:t>
                  </w:r>
                  <w:r>
                    <w:rPr>
                      <w:szCs w:val="21"/>
                    </w:rPr>
                    <w:t>苏环办〔20</w:t>
                  </w:r>
                  <w:r>
                    <w:rPr>
                      <w:rFonts w:hint="eastAsia"/>
                      <w:szCs w:val="21"/>
                    </w:rPr>
                    <w:t>20</w:t>
                  </w:r>
                  <w:r>
                    <w:rPr>
                      <w:szCs w:val="21"/>
                    </w:rPr>
                    <w:t>〕</w:t>
                  </w:r>
                  <w:r>
                    <w:rPr>
                      <w:rFonts w:hint="eastAsia"/>
                      <w:szCs w:val="21"/>
                    </w:rPr>
                    <w:t>688</w:t>
                  </w:r>
                  <w:r>
                    <w:rPr>
                      <w:szCs w:val="21"/>
                    </w:rPr>
                    <w:t>号</w:t>
                  </w:r>
                  <w:r>
                    <w:t>），</w:t>
                  </w:r>
                  <w:r>
                    <w:rPr>
                      <w:rFonts w:hint="eastAsia"/>
                    </w:rPr>
                    <w:t>本项目无重大变化。</w:t>
                  </w:r>
                </w:p>
              </w:tc>
            </w:tr>
          </w:tbl>
          <w:p>
            <w:pPr>
              <w:ind w:firstLine="420" w:firstLineChars="200"/>
              <w:jc w:val="center"/>
              <w:rPr>
                <w:szCs w:val="21"/>
              </w:rPr>
            </w:pPr>
          </w:p>
          <w:p>
            <w:pPr>
              <w:pStyle w:val="116"/>
              <w:autoSpaceDE w:val="0"/>
              <w:autoSpaceDN w:val="0"/>
              <w:spacing w:line="360" w:lineRule="auto"/>
              <w:ind w:firstLine="0" w:firstLineChars="0"/>
              <w:rPr>
                <w:szCs w:val="21"/>
              </w:rPr>
            </w:pPr>
          </w:p>
          <w:p>
            <w:pPr>
              <w:pStyle w:val="116"/>
              <w:autoSpaceDE w:val="0"/>
              <w:autoSpaceDN w:val="0"/>
              <w:spacing w:line="360" w:lineRule="auto"/>
              <w:ind w:firstLine="0" w:firstLineChars="0"/>
              <w:rPr>
                <w:szCs w:val="21"/>
              </w:rPr>
            </w:pPr>
          </w:p>
          <w:p>
            <w:pPr>
              <w:pStyle w:val="116"/>
              <w:autoSpaceDE w:val="0"/>
              <w:autoSpaceDN w:val="0"/>
              <w:spacing w:line="360" w:lineRule="auto"/>
              <w:ind w:firstLine="0" w:firstLineChars="0"/>
              <w:rPr>
                <w:szCs w:val="21"/>
              </w:rPr>
            </w:pPr>
          </w:p>
          <w:p>
            <w:pPr>
              <w:pStyle w:val="116"/>
              <w:autoSpaceDE w:val="0"/>
              <w:autoSpaceDN w:val="0"/>
              <w:spacing w:line="360" w:lineRule="auto"/>
              <w:ind w:firstLine="0" w:firstLineChars="0"/>
              <w:rPr>
                <w:szCs w:val="21"/>
              </w:rPr>
            </w:pPr>
          </w:p>
          <w:p>
            <w:pPr>
              <w:pStyle w:val="116"/>
              <w:autoSpaceDE w:val="0"/>
              <w:autoSpaceDN w:val="0"/>
              <w:spacing w:line="360" w:lineRule="auto"/>
              <w:ind w:firstLine="0" w:firstLineChars="0"/>
              <w:rPr>
                <w:szCs w:val="21"/>
              </w:rPr>
            </w:pPr>
          </w:p>
        </w:tc>
      </w:tr>
    </w:tbl>
    <w:p>
      <w:pPr>
        <w:pStyle w:val="4"/>
        <w:tabs>
          <w:tab w:val="left" w:pos="7275"/>
        </w:tabs>
        <w:spacing w:beforeLines="50" w:afterLines="50" w:line="240" w:lineRule="auto"/>
        <w:rPr>
          <w:sz w:val="28"/>
          <w:szCs w:val="28"/>
        </w:rPr>
      </w:pPr>
      <w:bookmarkStart w:id="6" w:name="_Toc31257"/>
      <w:r>
        <w:rPr>
          <w:sz w:val="28"/>
          <w:szCs w:val="28"/>
        </w:rPr>
        <w:t>表</w:t>
      </w:r>
      <w:r>
        <w:rPr>
          <w:rFonts w:hint="eastAsia"/>
          <w:sz w:val="28"/>
          <w:szCs w:val="28"/>
        </w:rPr>
        <w:t>五</w:t>
      </w:r>
      <w:r>
        <w:rPr>
          <w:sz w:val="28"/>
          <w:szCs w:val="28"/>
        </w:rPr>
        <w:t xml:space="preserve"> 主要污染源、污染物处理和排放流程</w:t>
      </w:r>
      <w:bookmarkEnd w:id="6"/>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3" w:hRule="atLeast"/>
        </w:trPr>
        <w:tc>
          <w:tcPr>
            <w:tcW w:w="10078" w:type="dxa"/>
            <w:tcBorders>
              <w:top w:val="single" w:color="auto" w:sz="12" w:space="0"/>
              <w:left w:val="single" w:color="auto" w:sz="12" w:space="0"/>
              <w:bottom w:val="single" w:color="auto" w:sz="12" w:space="0"/>
              <w:right w:val="single" w:color="auto" w:sz="12" w:space="0"/>
            </w:tcBorders>
          </w:tcPr>
          <w:p>
            <w:pPr>
              <w:spacing w:line="360" w:lineRule="auto"/>
              <w:rPr>
                <w:b/>
                <w:szCs w:val="21"/>
              </w:rPr>
            </w:pPr>
            <w:r>
              <w:rPr>
                <w:rFonts w:hint="eastAsia"/>
                <w:b/>
                <w:bCs/>
                <w:szCs w:val="21"/>
              </w:rPr>
              <w:t xml:space="preserve">5.1 </w:t>
            </w:r>
            <w:r>
              <w:rPr>
                <w:b/>
                <w:szCs w:val="21"/>
              </w:rPr>
              <w:t>废水</w:t>
            </w:r>
          </w:p>
          <w:p>
            <w:pPr>
              <w:spacing w:line="360" w:lineRule="auto"/>
              <w:ind w:firstLine="420" w:firstLineChars="200"/>
              <w:jc w:val="left"/>
              <w:rPr>
                <w:szCs w:val="21"/>
              </w:rPr>
            </w:pPr>
            <w:r>
              <w:rPr>
                <w:rFonts w:hint="eastAsia"/>
                <w:szCs w:val="21"/>
              </w:rPr>
              <w:t>本项目没有安排工作人员值守，只有日常巡检人员，无废水产生。</w:t>
            </w:r>
          </w:p>
          <w:p>
            <w:pPr>
              <w:spacing w:line="360" w:lineRule="auto"/>
              <w:ind w:right="-34"/>
              <w:rPr>
                <w:b/>
                <w:szCs w:val="21"/>
              </w:rPr>
            </w:pPr>
            <w:r>
              <w:rPr>
                <w:rFonts w:hint="eastAsia"/>
                <w:b/>
                <w:szCs w:val="21"/>
              </w:rPr>
              <w:t xml:space="preserve">5.2 </w:t>
            </w:r>
            <w:r>
              <w:rPr>
                <w:b/>
                <w:szCs w:val="21"/>
              </w:rPr>
              <w:t>废气</w:t>
            </w:r>
          </w:p>
          <w:p>
            <w:pPr>
              <w:spacing w:line="360" w:lineRule="auto"/>
              <w:ind w:firstLine="420" w:firstLineChars="200"/>
              <w:rPr>
                <w:szCs w:val="21"/>
              </w:rPr>
            </w:pPr>
            <w:r>
              <w:rPr>
                <w:rFonts w:hint="eastAsia"/>
                <w:szCs w:val="21"/>
              </w:rPr>
              <w:t>风力发电是一种不消耗矿物能源、比较清洁的生产项目，在生产运行过</w:t>
            </w:r>
            <w:r>
              <w:rPr>
                <w:rFonts w:hint="eastAsia"/>
                <w:color w:val="000000" w:themeColor="text1"/>
                <w:szCs w:val="21"/>
              </w:rPr>
              <w:t>程中不</w:t>
            </w:r>
            <w:r>
              <w:rPr>
                <w:rFonts w:hint="eastAsia"/>
                <w:color w:val="000000" w:themeColor="text1"/>
                <w:szCs w:val="21"/>
                <w:lang w:val="en-US" w:eastAsia="zh-CN"/>
              </w:rPr>
              <w:t>产生</w:t>
            </w:r>
            <w:r>
              <w:rPr>
                <w:rFonts w:hint="eastAsia"/>
                <w:color w:val="000000" w:themeColor="text1"/>
                <w:szCs w:val="21"/>
              </w:rPr>
              <w:t>废气</w:t>
            </w:r>
            <w:r>
              <w:rPr>
                <w:rFonts w:hint="eastAsia"/>
                <w:szCs w:val="21"/>
              </w:rPr>
              <w:t>。</w:t>
            </w:r>
          </w:p>
          <w:p>
            <w:pPr>
              <w:spacing w:line="360" w:lineRule="auto"/>
              <w:ind w:right="-34"/>
              <w:rPr>
                <w:b/>
                <w:szCs w:val="21"/>
              </w:rPr>
            </w:pPr>
            <w:r>
              <w:rPr>
                <w:rFonts w:hint="eastAsia"/>
                <w:b/>
                <w:szCs w:val="21"/>
              </w:rPr>
              <w:t>5.3 厂界环境噪声</w:t>
            </w:r>
          </w:p>
          <w:p>
            <w:pPr>
              <w:spacing w:line="360" w:lineRule="auto"/>
              <w:ind w:firstLine="420" w:firstLineChars="200"/>
              <w:rPr>
                <w:b/>
                <w:szCs w:val="21"/>
              </w:rPr>
            </w:pPr>
            <w:r>
              <w:rPr>
                <w:rFonts w:hint="eastAsia"/>
                <w:szCs w:val="21"/>
              </w:rPr>
              <w:t>本项目噪声来源来自于自主变压器。采取选用低噪声设备、安装基础减振、隔声降噪等措施。</w:t>
            </w:r>
            <w:r>
              <w:rPr>
                <w:szCs w:val="21"/>
              </w:rPr>
              <w:t>本次验收监测在</w:t>
            </w:r>
            <w:r>
              <w:rPr>
                <w:rFonts w:hint="eastAsia"/>
                <w:szCs w:val="21"/>
              </w:rPr>
              <w:t>升压站</w:t>
            </w:r>
            <w:r>
              <w:rPr>
                <w:szCs w:val="21"/>
              </w:rPr>
              <w:t>设置了4个噪声监测点位</w:t>
            </w:r>
            <w:r>
              <w:rPr>
                <w:rFonts w:hint="eastAsia"/>
                <w:szCs w:val="21"/>
              </w:rPr>
              <w:t>（N1</w:t>
            </w:r>
            <w:r>
              <w:rPr>
                <w:szCs w:val="21"/>
              </w:rPr>
              <w:t>～</w:t>
            </w:r>
            <w:r>
              <w:rPr>
                <w:rFonts w:hint="eastAsia"/>
                <w:szCs w:val="21"/>
              </w:rPr>
              <w:t>N</w:t>
            </w:r>
            <w:r>
              <w:rPr>
                <w:szCs w:val="21"/>
              </w:rPr>
              <w:t>4</w:t>
            </w:r>
            <w:r>
              <w:rPr>
                <w:rFonts w:hint="eastAsia"/>
                <w:szCs w:val="21"/>
              </w:rPr>
              <w:t>）。</w:t>
            </w:r>
          </w:p>
          <w:p>
            <w:pPr>
              <w:spacing w:line="360" w:lineRule="auto"/>
              <w:ind w:right="-34"/>
              <w:rPr>
                <w:b/>
                <w:szCs w:val="21"/>
              </w:rPr>
            </w:pPr>
            <w:r>
              <w:rPr>
                <w:rFonts w:hint="eastAsia"/>
                <w:b/>
                <w:szCs w:val="21"/>
              </w:rPr>
              <w:t>5.4 固体废弃物</w:t>
            </w:r>
          </w:p>
          <w:p>
            <w:pPr>
              <w:spacing w:line="360" w:lineRule="auto"/>
              <w:ind w:firstLine="420" w:firstLineChars="200"/>
              <w:rPr>
                <w:szCs w:val="21"/>
              </w:rPr>
            </w:pPr>
            <w:r>
              <w:rPr>
                <w:szCs w:val="21"/>
              </w:rPr>
              <w:t>本项</w:t>
            </w:r>
            <w:r>
              <w:rPr>
                <w:color w:val="000000" w:themeColor="text1"/>
                <w:szCs w:val="21"/>
              </w:rPr>
              <w:t>目营运期</w:t>
            </w:r>
            <w:r>
              <w:rPr>
                <w:rFonts w:hint="eastAsia"/>
                <w:color w:val="000000" w:themeColor="text1"/>
                <w:szCs w:val="21"/>
              </w:rPr>
              <w:t>产生的</w:t>
            </w:r>
            <w:r>
              <w:rPr>
                <w:color w:val="000000" w:themeColor="text1"/>
                <w:szCs w:val="21"/>
              </w:rPr>
              <w:t>固废</w:t>
            </w:r>
            <w:r>
              <w:rPr>
                <w:rFonts w:hint="eastAsia"/>
                <w:color w:val="000000" w:themeColor="text1"/>
                <w:szCs w:val="21"/>
              </w:rPr>
              <w:t>主要废变压器油、废旧蓄电池</w:t>
            </w:r>
            <w:r>
              <w:rPr>
                <w:bCs/>
                <w:color w:val="000000" w:themeColor="text1"/>
                <w:szCs w:val="21"/>
              </w:rPr>
              <w:t>。</w:t>
            </w:r>
            <w:r>
              <w:rPr>
                <w:rFonts w:hint="eastAsia"/>
                <w:bCs/>
                <w:color w:val="000000" w:themeColor="text1"/>
                <w:szCs w:val="21"/>
                <w:lang w:val="en-US" w:eastAsia="zh-CN"/>
              </w:rPr>
              <w:t>废变压器油、</w:t>
            </w:r>
            <w:r>
              <w:rPr>
                <w:rFonts w:hint="eastAsia"/>
                <w:color w:val="000000" w:themeColor="text1"/>
                <w:szCs w:val="21"/>
              </w:rPr>
              <w:t>废旧蓄电池</w:t>
            </w:r>
            <w:r>
              <w:rPr>
                <w:color w:val="000000" w:themeColor="text1"/>
                <w:szCs w:val="21"/>
              </w:rPr>
              <w:t>属于危废，</w:t>
            </w:r>
            <w:r>
              <w:rPr>
                <w:rFonts w:hint="eastAsia"/>
                <w:color w:val="000000" w:themeColor="text1"/>
                <w:szCs w:val="21"/>
                <w:lang w:val="en-US" w:eastAsia="zh-CN"/>
              </w:rPr>
              <w:t>交由有资质单位处理</w:t>
            </w:r>
            <w:r>
              <w:rPr>
                <w:rFonts w:hint="eastAsia"/>
                <w:szCs w:val="21"/>
              </w:rPr>
              <w:t>。本项目固（液）体废物种类、产生量以及去向见表</w:t>
            </w:r>
            <w:r>
              <w:rPr>
                <w:rFonts w:hint="eastAsia"/>
                <w:szCs w:val="21"/>
                <w:lang w:val="en-US" w:eastAsia="zh-CN"/>
              </w:rPr>
              <w:t>5.1</w:t>
            </w:r>
            <w:r>
              <w:rPr>
                <w:rFonts w:hint="eastAsia"/>
                <w:szCs w:val="21"/>
              </w:rPr>
              <w:t>。</w:t>
            </w:r>
          </w:p>
          <w:p>
            <w:pPr>
              <w:jc w:val="center"/>
              <w:rPr>
                <w:szCs w:val="21"/>
              </w:rPr>
            </w:pPr>
            <w:r>
              <w:rPr>
                <w:rFonts w:hint="eastAsia"/>
                <w:szCs w:val="21"/>
              </w:rPr>
              <w:t>表5.1本项目固（液）体废物种类、产生量以及去向表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autofit"/>
              <w:tblCellMar>
                <w:top w:w="0" w:type="dxa"/>
                <w:left w:w="108" w:type="dxa"/>
                <w:bottom w:w="0" w:type="dxa"/>
                <w:right w:w="108" w:type="dxa"/>
              </w:tblCellMar>
            </w:tblPr>
            <w:tblGrid>
              <w:gridCol w:w="479"/>
              <w:gridCol w:w="1382"/>
              <w:gridCol w:w="1128"/>
              <w:gridCol w:w="1196"/>
              <w:gridCol w:w="1130"/>
              <w:gridCol w:w="1271"/>
              <w:gridCol w:w="1130"/>
              <w:gridCol w:w="1922"/>
            </w:tblGrid>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cantSplit/>
                <w:trHeight w:val="340" w:hRule="atLeast"/>
                <w:jc w:val="center"/>
              </w:trPr>
              <w:tc>
                <w:tcPr>
                  <w:tcW w:w="249" w:type="pct"/>
                  <w:tcBorders>
                    <w:tl2br w:val="nil"/>
                    <w:tr2bl w:val="nil"/>
                  </w:tcBorders>
                  <w:shd w:val="clear" w:color="auto" w:fill="auto"/>
                  <w:vAlign w:val="center"/>
                </w:tcPr>
                <w:p>
                  <w:pPr>
                    <w:jc w:val="center"/>
                    <w:rPr>
                      <w:szCs w:val="21"/>
                    </w:rPr>
                  </w:pPr>
                  <w:r>
                    <w:rPr>
                      <w:rFonts w:hint="eastAsia"/>
                      <w:szCs w:val="21"/>
                    </w:rPr>
                    <w:t>序号</w:t>
                  </w:r>
                </w:p>
              </w:tc>
              <w:tc>
                <w:tcPr>
                  <w:tcW w:w="717" w:type="pct"/>
                  <w:tcBorders>
                    <w:right w:val="single" w:color="auto" w:sz="4" w:space="0"/>
                    <w:tl2br w:val="nil"/>
                    <w:tr2bl w:val="nil"/>
                  </w:tcBorders>
                  <w:shd w:val="clear" w:color="auto" w:fill="auto"/>
                  <w:vAlign w:val="center"/>
                </w:tcPr>
                <w:p>
                  <w:pPr>
                    <w:jc w:val="center"/>
                    <w:rPr>
                      <w:szCs w:val="21"/>
                    </w:rPr>
                  </w:pPr>
                  <w:r>
                    <w:rPr>
                      <w:rFonts w:hint="eastAsia"/>
                      <w:szCs w:val="21"/>
                    </w:rPr>
                    <w:t>名称</w:t>
                  </w:r>
                </w:p>
              </w:tc>
              <w:tc>
                <w:tcPr>
                  <w:tcW w:w="585" w:type="pct"/>
                  <w:tcBorders>
                    <w:right w:val="single" w:color="auto" w:sz="4" w:space="0"/>
                    <w:tl2br w:val="nil"/>
                    <w:tr2bl w:val="nil"/>
                  </w:tcBorders>
                  <w:shd w:val="clear" w:color="auto" w:fill="auto"/>
                  <w:vAlign w:val="center"/>
                </w:tcPr>
                <w:p>
                  <w:pPr>
                    <w:jc w:val="center"/>
                    <w:rPr>
                      <w:szCs w:val="21"/>
                    </w:rPr>
                  </w:pPr>
                  <w:r>
                    <w:rPr>
                      <w:rFonts w:hint="eastAsia"/>
                      <w:szCs w:val="21"/>
                    </w:rPr>
                    <w:t>产生工序</w:t>
                  </w:r>
                </w:p>
              </w:tc>
              <w:tc>
                <w:tcPr>
                  <w:tcW w:w="620" w:type="pct"/>
                  <w:tcBorders>
                    <w:left w:val="single" w:color="auto" w:sz="4" w:space="0"/>
                    <w:tl2br w:val="nil"/>
                    <w:tr2bl w:val="nil"/>
                  </w:tcBorders>
                  <w:shd w:val="clear" w:color="auto" w:fill="auto"/>
                  <w:vAlign w:val="center"/>
                </w:tcPr>
                <w:p>
                  <w:pPr>
                    <w:jc w:val="center"/>
                    <w:rPr>
                      <w:szCs w:val="21"/>
                    </w:rPr>
                  </w:pPr>
                  <w:r>
                    <w:rPr>
                      <w:szCs w:val="21"/>
                    </w:rPr>
                    <w:t>废物</w:t>
                  </w:r>
                  <w:r>
                    <w:rPr>
                      <w:rFonts w:hint="eastAsia"/>
                      <w:szCs w:val="21"/>
                    </w:rPr>
                    <w:t>代码</w:t>
                  </w:r>
                </w:p>
              </w:tc>
              <w:tc>
                <w:tcPr>
                  <w:tcW w:w="586" w:type="pct"/>
                  <w:tcBorders>
                    <w:tl2br w:val="nil"/>
                    <w:tr2bl w:val="nil"/>
                  </w:tcBorders>
                  <w:shd w:val="clear" w:color="auto" w:fill="auto"/>
                  <w:vAlign w:val="center"/>
                </w:tcPr>
                <w:p>
                  <w:pPr>
                    <w:jc w:val="center"/>
                    <w:rPr>
                      <w:szCs w:val="21"/>
                    </w:rPr>
                  </w:pPr>
                  <w:r>
                    <w:rPr>
                      <w:rFonts w:hint="eastAsia"/>
                      <w:szCs w:val="21"/>
                    </w:rPr>
                    <w:t>环评产生量</w:t>
                  </w:r>
                  <w:r>
                    <w:rPr>
                      <w:szCs w:val="21"/>
                    </w:rPr>
                    <w:t>（t/a）</w:t>
                  </w:r>
                </w:p>
              </w:tc>
              <w:tc>
                <w:tcPr>
                  <w:tcW w:w="659" w:type="pct"/>
                  <w:tcBorders>
                    <w:tl2br w:val="nil"/>
                    <w:tr2bl w:val="nil"/>
                  </w:tcBorders>
                  <w:shd w:val="clear" w:color="auto" w:fill="auto"/>
                  <w:vAlign w:val="center"/>
                </w:tcPr>
                <w:p>
                  <w:pPr>
                    <w:jc w:val="center"/>
                    <w:rPr>
                      <w:szCs w:val="21"/>
                    </w:rPr>
                  </w:pPr>
                  <w:r>
                    <w:rPr>
                      <w:rFonts w:hint="eastAsia"/>
                      <w:szCs w:val="21"/>
                    </w:rPr>
                    <w:t>调试期间产生量（</w:t>
                  </w:r>
                  <w:r>
                    <w:rPr>
                      <w:szCs w:val="21"/>
                    </w:rPr>
                    <w:t>t/</w:t>
                  </w:r>
                  <w:r>
                    <w:rPr>
                      <w:rFonts w:hint="eastAsia"/>
                      <w:szCs w:val="21"/>
                    </w:rPr>
                    <w:t>月）</w:t>
                  </w:r>
                </w:p>
              </w:tc>
              <w:tc>
                <w:tcPr>
                  <w:tcW w:w="586" w:type="pct"/>
                  <w:tcBorders>
                    <w:tl2br w:val="nil"/>
                    <w:tr2bl w:val="nil"/>
                  </w:tcBorders>
                  <w:shd w:val="clear" w:color="auto" w:fill="auto"/>
                  <w:vAlign w:val="center"/>
                </w:tcPr>
                <w:p>
                  <w:pPr>
                    <w:jc w:val="center"/>
                    <w:rPr>
                      <w:szCs w:val="21"/>
                    </w:rPr>
                  </w:pPr>
                  <w:r>
                    <w:rPr>
                      <w:szCs w:val="21"/>
                    </w:rPr>
                    <w:t>实际产生量（t/a）</w:t>
                  </w:r>
                </w:p>
              </w:tc>
              <w:tc>
                <w:tcPr>
                  <w:tcW w:w="995" w:type="pct"/>
                  <w:tcBorders>
                    <w:tl2br w:val="nil"/>
                    <w:tr2bl w:val="nil"/>
                  </w:tcBorders>
                  <w:shd w:val="clear" w:color="auto" w:fill="auto"/>
                  <w:vAlign w:val="center"/>
                </w:tcPr>
                <w:p>
                  <w:pPr>
                    <w:jc w:val="center"/>
                    <w:rPr>
                      <w:szCs w:val="21"/>
                    </w:rPr>
                  </w:pPr>
                  <w:r>
                    <w:rPr>
                      <w:rFonts w:hint="eastAsia"/>
                      <w:szCs w:val="21"/>
                    </w:rPr>
                    <w:t>处理方式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cantSplit/>
                <w:trHeight w:val="340" w:hRule="atLeast"/>
                <w:jc w:val="center"/>
              </w:trPr>
              <w:tc>
                <w:tcPr>
                  <w:tcW w:w="249" w:type="pct"/>
                  <w:tcBorders>
                    <w:tl2br w:val="nil"/>
                    <w:tr2bl w:val="nil"/>
                  </w:tcBorders>
                  <w:shd w:val="clear" w:color="auto" w:fill="auto"/>
                  <w:vAlign w:val="center"/>
                </w:tcPr>
                <w:p>
                  <w:pPr>
                    <w:jc w:val="center"/>
                    <w:rPr>
                      <w:szCs w:val="21"/>
                    </w:rPr>
                  </w:pPr>
                  <w:r>
                    <w:rPr>
                      <w:rFonts w:hint="eastAsia"/>
                      <w:szCs w:val="21"/>
                    </w:rPr>
                    <w:t>1</w:t>
                  </w:r>
                </w:p>
              </w:tc>
              <w:tc>
                <w:tcPr>
                  <w:tcW w:w="717" w:type="pct"/>
                  <w:tcBorders>
                    <w:right w:val="single" w:color="auto" w:sz="4" w:space="0"/>
                    <w:tl2br w:val="nil"/>
                    <w:tr2bl w:val="nil"/>
                  </w:tcBorders>
                  <w:shd w:val="clear" w:color="auto" w:fill="auto"/>
                  <w:vAlign w:val="center"/>
                </w:tcPr>
                <w:p>
                  <w:pPr>
                    <w:ind w:right="19" w:rightChars="9"/>
                    <w:jc w:val="center"/>
                    <w:rPr>
                      <w:bCs/>
                      <w:szCs w:val="21"/>
                    </w:rPr>
                  </w:pPr>
                  <w:r>
                    <w:rPr>
                      <w:rFonts w:hint="eastAsia"/>
                      <w:bCs/>
                      <w:szCs w:val="21"/>
                    </w:rPr>
                    <w:t>废旧蓄电池</w:t>
                  </w:r>
                </w:p>
              </w:tc>
              <w:tc>
                <w:tcPr>
                  <w:tcW w:w="585" w:type="pct"/>
                  <w:tcBorders>
                    <w:right w:val="single" w:color="auto" w:sz="4" w:space="0"/>
                    <w:tl2br w:val="nil"/>
                    <w:tr2bl w:val="nil"/>
                  </w:tcBorders>
                  <w:shd w:val="clear" w:color="auto" w:fill="auto"/>
                  <w:vAlign w:val="center"/>
                </w:tcPr>
                <w:p>
                  <w:pPr>
                    <w:jc w:val="center"/>
                    <w:rPr>
                      <w:bCs/>
                      <w:szCs w:val="21"/>
                    </w:rPr>
                  </w:pPr>
                  <w:r>
                    <w:rPr>
                      <w:rFonts w:hint="eastAsia"/>
                      <w:bCs/>
                      <w:szCs w:val="21"/>
                    </w:rPr>
                    <w:t>更换电池</w:t>
                  </w:r>
                </w:p>
              </w:tc>
              <w:tc>
                <w:tcPr>
                  <w:tcW w:w="620" w:type="pct"/>
                  <w:tcBorders>
                    <w:left w:val="single" w:color="auto" w:sz="4" w:space="0"/>
                    <w:tl2br w:val="nil"/>
                    <w:tr2bl w:val="nil"/>
                  </w:tcBorders>
                  <w:shd w:val="clear" w:color="auto" w:fill="auto"/>
                  <w:vAlign w:val="center"/>
                </w:tcPr>
                <w:p>
                  <w:pPr>
                    <w:jc w:val="center"/>
                    <w:rPr>
                      <w:bCs/>
                      <w:szCs w:val="21"/>
                    </w:rPr>
                  </w:pPr>
                  <w:r>
                    <w:rPr>
                      <w:bCs/>
                      <w:szCs w:val="21"/>
                    </w:rPr>
                    <w:t>HW</w:t>
                  </w:r>
                  <w:r>
                    <w:rPr>
                      <w:rFonts w:hint="eastAsia"/>
                      <w:bCs/>
                      <w:szCs w:val="21"/>
                    </w:rPr>
                    <w:t>49</w:t>
                  </w:r>
                </w:p>
                <w:p>
                  <w:pPr>
                    <w:jc w:val="center"/>
                    <w:rPr>
                      <w:bCs/>
                      <w:szCs w:val="21"/>
                    </w:rPr>
                  </w:pPr>
                  <w:r>
                    <w:rPr>
                      <w:bCs/>
                      <w:szCs w:val="21"/>
                    </w:rPr>
                    <w:t>900-</w:t>
                  </w:r>
                  <w:r>
                    <w:rPr>
                      <w:rFonts w:hint="eastAsia"/>
                      <w:bCs/>
                      <w:szCs w:val="21"/>
                    </w:rPr>
                    <w:t>044</w:t>
                  </w:r>
                  <w:r>
                    <w:rPr>
                      <w:bCs/>
                      <w:szCs w:val="21"/>
                    </w:rPr>
                    <w:t>-</w:t>
                  </w:r>
                  <w:r>
                    <w:rPr>
                      <w:rFonts w:hint="eastAsia"/>
                      <w:bCs/>
                      <w:szCs w:val="21"/>
                    </w:rPr>
                    <w:t>49</w:t>
                  </w:r>
                </w:p>
              </w:tc>
              <w:tc>
                <w:tcPr>
                  <w:tcW w:w="586" w:type="pct"/>
                  <w:tcBorders>
                    <w:tl2br w:val="nil"/>
                    <w:tr2bl w:val="nil"/>
                  </w:tcBorders>
                  <w:shd w:val="clear" w:color="auto" w:fill="auto"/>
                  <w:vAlign w:val="center"/>
                </w:tcPr>
                <w:p>
                  <w:pPr>
                    <w:jc w:val="center"/>
                    <w:rPr>
                      <w:bCs/>
                      <w:szCs w:val="21"/>
                    </w:rPr>
                  </w:pPr>
                  <w:r>
                    <w:rPr>
                      <w:rFonts w:hint="eastAsia"/>
                      <w:bCs/>
                      <w:szCs w:val="21"/>
                    </w:rPr>
                    <w:t>10t/次（仅发生变压器油泄漏事故年份）</w:t>
                  </w:r>
                </w:p>
              </w:tc>
              <w:tc>
                <w:tcPr>
                  <w:tcW w:w="659" w:type="pct"/>
                  <w:tcBorders>
                    <w:tl2br w:val="nil"/>
                    <w:tr2bl w:val="nil"/>
                  </w:tcBorders>
                  <w:shd w:val="clear" w:color="auto" w:fill="auto"/>
                  <w:vAlign w:val="center"/>
                </w:tcPr>
                <w:p>
                  <w:pPr>
                    <w:jc w:val="center"/>
                    <w:rPr>
                      <w:szCs w:val="21"/>
                    </w:rPr>
                  </w:pPr>
                  <w:r>
                    <w:rPr>
                      <w:rFonts w:hint="eastAsia"/>
                      <w:szCs w:val="21"/>
                    </w:rPr>
                    <w:t>/</w:t>
                  </w:r>
                </w:p>
              </w:tc>
              <w:tc>
                <w:tcPr>
                  <w:tcW w:w="586" w:type="pct"/>
                  <w:tcBorders>
                    <w:tl2br w:val="nil"/>
                    <w:tr2bl w:val="nil"/>
                  </w:tcBorders>
                  <w:shd w:val="clear" w:color="auto" w:fill="auto"/>
                  <w:vAlign w:val="center"/>
                </w:tcPr>
                <w:p>
                  <w:pPr>
                    <w:jc w:val="center"/>
                    <w:rPr>
                      <w:szCs w:val="21"/>
                    </w:rPr>
                  </w:pPr>
                  <w:r>
                    <w:rPr>
                      <w:rFonts w:hint="eastAsia"/>
                      <w:szCs w:val="21"/>
                    </w:rPr>
                    <w:t>/</w:t>
                  </w:r>
                </w:p>
              </w:tc>
              <w:tc>
                <w:tcPr>
                  <w:tcW w:w="995" w:type="pct"/>
                  <w:vMerge w:val="restart"/>
                  <w:tcBorders>
                    <w:tl2br w:val="nil"/>
                    <w:tr2bl w:val="nil"/>
                  </w:tcBorders>
                  <w:shd w:val="clear" w:color="auto" w:fill="auto"/>
                  <w:vAlign w:val="center"/>
                </w:tcPr>
                <w:p>
                  <w:pPr>
                    <w:jc w:val="center"/>
                    <w:rPr>
                      <w:rFonts w:hint="default" w:eastAsia="宋体"/>
                      <w:szCs w:val="21"/>
                      <w:lang w:val="en-US" w:eastAsia="zh-CN"/>
                    </w:rPr>
                  </w:pPr>
                  <w:r>
                    <w:rPr>
                      <w:rFonts w:hint="eastAsia"/>
                      <w:szCs w:val="21"/>
                      <w:lang w:val="en-US" w:eastAsia="zh-CN"/>
                    </w:rPr>
                    <w:t>交由有资质单位处理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cantSplit/>
                <w:trHeight w:val="340" w:hRule="atLeast"/>
                <w:jc w:val="center"/>
              </w:trPr>
              <w:tc>
                <w:tcPr>
                  <w:tcW w:w="249" w:type="pct"/>
                  <w:tcBorders>
                    <w:tl2br w:val="nil"/>
                    <w:tr2bl w:val="nil"/>
                  </w:tcBorders>
                  <w:shd w:val="clear" w:color="auto" w:fill="auto"/>
                  <w:vAlign w:val="center"/>
                </w:tcPr>
                <w:p>
                  <w:pPr>
                    <w:jc w:val="center"/>
                    <w:rPr>
                      <w:szCs w:val="21"/>
                    </w:rPr>
                  </w:pPr>
                  <w:r>
                    <w:rPr>
                      <w:rFonts w:hint="eastAsia"/>
                      <w:szCs w:val="21"/>
                    </w:rPr>
                    <w:t>2</w:t>
                  </w:r>
                </w:p>
              </w:tc>
              <w:tc>
                <w:tcPr>
                  <w:tcW w:w="717" w:type="pct"/>
                  <w:tcBorders>
                    <w:right w:val="single" w:color="auto" w:sz="4" w:space="0"/>
                    <w:tl2br w:val="nil"/>
                    <w:tr2bl w:val="nil"/>
                  </w:tcBorders>
                  <w:shd w:val="clear" w:color="auto" w:fill="auto"/>
                  <w:vAlign w:val="center"/>
                </w:tcPr>
                <w:p>
                  <w:pPr>
                    <w:ind w:right="19" w:rightChars="9"/>
                    <w:jc w:val="center"/>
                    <w:rPr>
                      <w:bCs/>
                      <w:szCs w:val="21"/>
                    </w:rPr>
                  </w:pPr>
                  <w:r>
                    <w:rPr>
                      <w:rFonts w:hint="eastAsia"/>
                      <w:bCs/>
                      <w:szCs w:val="21"/>
                    </w:rPr>
                    <w:t>废变压器油</w:t>
                  </w:r>
                </w:p>
              </w:tc>
              <w:tc>
                <w:tcPr>
                  <w:tcW w:w="585" w:type="pct"/>
                  <w:tcBorders>
                    <w:right w:val="single" w:color="auto" w:sz="4" w:space="0"/>
                    <w:tl2br w:val="nil"/>
                    <w:tr2bl w:val="nil"/>
                  </w:tcBorders>
                  <w:shd w:val="clear" w:color="auto" w:fill="auto"/>
                  <w:vAlign w:val="center"/>
                </w:tcPr>
                <w:p>
                  <w:pPr>
                    <w:jc w:val="center"/>
                    <w:rPr>
                      <w:bCs/>
                      <w:szCs w:val="21"/>
                    </w:rPr>
                  </w:pPr>
                  <w:r>
                    <w:rPr>
                      <w:rFonts w:hint="eastAsia"/>
                      <w:bCs/>
                      <w:szCs w:val="21"/>
                    </w:rPr>
                    <w:t>更换电池</w:t>
                  </w:r>
                </w:p>
              </w:tc>
              <w:tc>
                <w:tcPr>
                  <w:tcW w:w="620" w:type="pct"/>
                  <w:tcBorders>
                    <w:left w:val="single" w:color="auto" w:sz="4" w:space="0"/>
                    <w:tl2br w:val="nil"/>
                    <w:tr2bl w:val="nil"/>
                  </w:tcBorders>
                  <w:shd w:val="clear" w:color="auto" w:fill="auto"/>
                  <w:vAlign w:val="center"/>
                </w:tcPr>
                <w:p>
                  <w:pPr>
                    <w:jc w:val="center"/>
                    <w:rPr>
                      <w:bCs/>
                      <w:szCs w:val="21"/>
                    </w:rPr>
                  </w:pPr>
                  <w:r>
                    <w:rPr>
                      <w:bCs/>
                      <w:szCs w:val="21"/>
                    </w:rPr>
                    <w:t>HW</w:t>
                  </w:r>
                  <w:r>
                    <w:rPr>
                      <w:rFonts w:hint="eastAsia"/>
                      <w:bCs/>
                      <w:szCs w:val="21"/>
                    </w:rPr>
                    <w:t>08</w:t>
                  </w:r>
                </w:p>
                <w:p>
                  <w:pPr>
                    <w:jc w:val="center"/>
                    <w:rPr>
                      <w:bCs/>
                      <w:szCs w:val="21"/>
                    </w:rPr>
                  </w:pPr>
                  <w:r>
                    <w:rPr>
                      <w:bCs/>
                      <w:szCs w:val="21"/>
                    </w:rPr>
                    <w:t>900</w:t>
                  </w:r>
                  <w:r>
                    <w:rPr>
                      <w:rFonts w:hint="eastAsia"/>
                      <w:bCs/>
                      <w:szCs w:val="21"/>
                    </w:rPr>
                    <w:t>-220-08</w:t>
                  </w:r>
                </w:p>
              </w:tc>
              <w:tc>
                <w:tcPr>
                  <w:tcW w:w="586" w:type="pct"/>
                  <w:tcBorders>
                    <w:tl2br w:val="nil"/>
                    <w:tr2bl w:val="nil"/>
                  </w:tcBorders>
                  <w:shd w:val="clear" w:color="auto" w:fill="auto"/>
                  <w:vAlign w:val="center"/>
                </w:tcPr>
                <w:p>
                  <w:pPr>
                    <w:jc w:val="center"/>
                    <w:rPr>
                      <w:bCs/>
                      <w:szCs w:val="21"/>
                    </w:rPr>
                  </w:pPr>
                  <w:r>
                    <w:rPr>
                      <w:rFonts w:hint="eastAsia"/>
                      <w:bCs/>
                      <w:szCs w:val="21"/>
                    </w:rPr>
                    <w:t>2（10年）</w:t>
                  </w:r>
                </w:p>
              </w:tc>
              <w:tc>
                <w:tcPr>
                  <w:tcW w:w="659" w:type="pct"/>
                  <w:tcBorders>
                    <w:tl2br w:val="nil"/>
                    <w:tr2bl w:val="nil"/>
                  </w:tcBorders>
                  <w:shd w:val="clear" w:color="auto" w:fill="auto"/>
                  <w:vAlign w:val="center"/>
                </w:tcPr>
                <w:p>
                  <w:pPr>
                    <w:jc w:val="center"/>
                    <w:rPr>
                      <w:szCs w:val="21"/>
                    </w:rPr>
                  </w:pPr>
                  <w:r>
                    <w:rPr>
                      <w:rFonts w:hint="eastAsia"/>
                      <w:szCs w:val="21"/>
                    </w:rPr>
                    <w:t>/</w:t>
                  </w:r>
                </w:p>
              </w:tc>
              <w:tc>
                <w:tcPr>
                  <w:tcW w:w="586" w:type="pct"/>
                  <w:tcBorders>
                    <w:tl2br w:val="nil"/>
                    <w:tr2bl w:val="nil"/>
                  </w:tcBorders>
                  <w:shd w:val="clear" w:color="auto" w:fill="auto"/>
                  <w:vAlign w:val="center"/>
                </w:tcPr>
                <w:p>
                  <w:pPr>
                    <w:jc w:val="center"/>
                    <w:rPr>
                      <w:szCs w:val="21"/>
                    </w:rPr>
                  </w:pPr>
                  <w:r>
                    <w:rPr>
                      <w:rFonts w:hint="eastAsia"/>
                      <w:szCs w:val="21"/>
                    </w:rPr>
                    <w:t>/</w:t>
                  </w:r>
                </w:p>
              </w:tc>
              <w:tc>
                <w:tcPr>
                  <w:tcW w:w="995" w:type="pct"/>
                  <w:vMerge w:val="continue"/>
                  <w:tcBorders>
                    <w:tl2br w:val="nil"/>
                    <w:tr2bl w:val="nil"/>
                  </w:tcBorders>
                  <w:shd w:val="clear" w:color="auto" w:fill="auto"/>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cantSplit/>
                <w:trHeight w:val="340" w:hRule="atLeast"/>
                <w:jc w:val="center"/>
              </w:trPr>
              <w:tc>
                <w:tcPr>
                  <w:tcW w:w="249" w:type="pct"/>
                  <w:tcBorders>
                    <w:tl2br w:val="nil"/>
                    <w:tr2bl w:val="nil"/>
                  </w:tcBorders>
                  <w:shd w:val="clear" w:color="auto" w:fill="auto"/>
                  <w:vAlign w:val="center"/>
                </w:tcPr>
                <w:p>
                  <w:pPr>
                    <w:jc w:val="center"/>
                    <w:rPr>
                      <w:szCs w:val="21"/>
                    </w:rPr>
                  </w:pPr>
                  <w:r>
                    <w:rPr>
                      <w:rFonts w:hint="eastAsia"/>
                      <w:szCs w:val="21"/>
                    </w:rPr>
                    <w:t>备注</w:t>
                  </w:r>
                </w:p>
              </w:tc>
              <w:tc>
                <w:tcPr>
                  <w:tcW w:w="4750" w:type="pct"/>
                  <w:gridSpan w:val="7"/>
                  <w:tcBorders>
                    <w:tl2br w:val="nil"/>
                    <w:tr2bl w:val="nil"/>
                  </w:tcBorders>
                  <w:shd w:val="clear" w:color="auto" w:fill="auto"/>
                  <w:vAlign w:val="center"/>
                </w:tcPr>
                <w:p>
                  <w:pPr>
                    <w:rPr>
                      <w:szCs w:val="21"/>
                    </w:rPr>
                  </w:pPr>
                  <w:r>
                    <w:rPr>
                      <w:rFonts w:hint="eastAsia"/>
                      <w:szCs w:val="21"/>
                    </w:rPr>
                    <w:t>1、实际产生量以调试期间用量折算得出，年产生量为预估量。</w:t>
                  </w:r>
                </w:p>
              </w:tc>
            </w:tr>
          </w:tbl>
          <w:p>
            <w:pPr>
              <w:jc w:val="center"/>
              <w:rPr>
                <w:szCs w:val="21"/>
              </w:rPr>
            </w:pPr>
          </w:p>
          <w:p>
            <w:pPr>
              <w:ind w:right="-34"/>
              <w:rPr>
                <w:b/>
                <w:szCs w:val="21"/>
              </w:rPr>
            </w:pPr>
            <w:r>
              <w:rPr>
                <w:rFonts w:hint="eastAsia"/>
                <w:b/>
                <w:szCs w:val="21"/>
              </w:rPr>
              <w:t>5.5电磁环境</w:t>
            </w:r>
          </w:p>
          <w:p>
            <w:pPr>
              <w:pStyle w:val="6"/>
              <w:ind w:firstLine="420" w:firstLineChars="200"/>
              <w:rPr>
                <w:sz w:val="21"/>
                <w:szCs w:val="21"/>
              </w:rPr>
            </w:pPr>
            <w:r>
              <w:rPr>
                <w:rFonts w:hint="eastAsia"/>
                <w:b w:val="0"/>
                <w:bCs w:val="0"/>
                <w:sz w:val="21"/>
                <w:szCs w:val="21"/>
              </w:rPr>
              <w:t>升压站在运行时，会形成一定强度的工频电场、工频磁场。升压站的主变和高压配电装置在运行时，由于电压等级较高，带电结构中存在大量电荷。因此会在周围产生一定强度的工频电场，同时由于电流的存在，在带电结构周围会产生交变的工频磁场。本次验收在升压站设置了4个工频电场、工频磁场点位。</w:t>
            </w:r>
          </w:p>
          <w:p>
            <w:pPr>
              <w:spacing w:line="360" w:lineRule="auto"/>
              <w:ind w:right="-34"/>
              <w:rPr>
                <w:b/>
                <w:szCs w:val="21"/>
              </w:rPr>
            </w:pPr>
            <w:r>
              <w:rPr>
                <w:rFonts w:hint="eastAsia"/>
                <w:b/>
                <w:szCs w:val="21"/>
              </w:rPr>
              <w:t>5.6环保设施投资及“三同时”落实情况</w:t>
            </w:r>
          </w:p>
          <w:p>
            <w:pPr>
              <w:spacing w:line="360" w:lineRule="auto"/>
              <w:ind w:firstLine="420" w:firstLineChars="200"/>
              <w:rPr>
                <w:color w:val="FF0000"/>
                <w:szCs w:val="21"/>
              </w:rPr>
            </w:pPr>
            <w:r>
              <w:rPr>
                <w:szCs w:val="21"/>
              </w:rPr>
              <w:t>本项目</w:t>
            </w:r>
            <w:r>
              <w:rPr>
                <w:rFonts w:hint="eastAsia"/>
                <w:szCs w:val="21"/>
              </w:rPr>
              <w:t>实际总投资2781.4万元人民币，其中环保投资约38万元，占总投资比例为1.37%。</w:t>
            </w:r>
          </w:p>
          <w:p>
            <w:pPr>
              <w:spacing w:beforeLines="30"/>
              <w:jc w:val="center"/>
              <w:rPr>
                <w:b/>
                <w:szCs w:val="21"/>
              </w:rPr>
            </w:pPr>
            <w:r>
              <w:rPr>
                <w:bCs/>
                <w:szCs w:val="21"/>
              </w:rPr>
              <w:t>表</w:t>
            </w:r>
            <w:r>
              <w:rPr>
                <w:rFonts w:hint="eastAsia"/>
                <w:bCs/>
                <w:szCs w:val="21"/>
              </w:rPr>
              <w:t xml:space="preserve">5.2 </w:t>
            </w:r>
            <w:r>
              <w:rPr>
                <w:bCs/>
                <w:szCs w:val="21"/>
              </w:rPr>
              <w:t xml:space="preserve"> 建设项目环保“三同时”检查一览表</w:t>
            </w:r>
          </w:p>
          <w:tbl>
            <w:tblPr>
              <w:tblStyle w:val="3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2403"/>
              <w:gridCol w:w="1706"/>
              <w:gridCol w:w="2347"/>
              <w:gridCol w:w="15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843" w:type="pct"/>
                  <w:vMerge w:val="restart"/>
                  <w:vAlign w:val="center"/>
                </w:tcPr>
                <w:p>
                  <w:pPr>
                    <w:spacing w:line="240" w:lineRule="exact"/>
                    <w:jc w:val="center"/>
                    <w:rPr>
                      <w:szCs w:val="21"/>
                    </w:rPr>
                  </w:pPr>
                  <w:r>
                    <w:rPr>
                      <w:rFonts w:hint="eastAsia"/>
                      <w:szCs w:val="21"/>
                    </w:rPr>
                    <w:t>项目名称</w:t>
                  </w:r>
                </w:p>
              </w:tc>
              <w:tc>
                <w:tcPr>
                  <w:tcW w:w="4156" w:type="pct"/>
                  <w:gridSpan w:val="4"/>
                  <w:vAlign w:val="center"/>
                </w:tcPr>
                <w:p>
                  <w:pPr>
                    <w:spacing w:line="240" w:lineRule="exact"/>
                    <w:jc w:val="center"/>
                    <w:rPr>
                      <w:color w:val="000000" w:themeColor="text1"/>
                      <w:szCs w:val="21"/>
                    </w:rPr>
                  </w:pPr>
                  <w:r>
                    <w:rPr>
                      <w:rFonts w:hint="eastAsia"/>
                      <w:color w:val="000000" w:themeColor="text1"/>
                      <w:szCs w:val="21"/>
                    </w:rPr>
                    <w:t>华润新能源（睢宁）有限公司一期风电项目配套110kV升压站工程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3" w:type="pct"/>
                  <w:vMerge w:val="continue"/>
                  <w:vAlign w:val="center"/>
                </w:tcPr>
                <w:p>
                  <w:pPr>
                    <w:spacing w:line="240" w:lineRule="exact"/>
                    <w:jc w:val="center"/>
                    <w:rPr>
                      <w:szCs w:val="21"/>
                    </w:rPr>
                  </w:pPr>
                </w:p>
              </w:tc>
              <w:tc>
                <w:tcPr>
                  <w:tcW w:w="2134" w:type="pct"/>
                  <w:gridSpan w:val="2"/>
                  <w:vAlign w:val="center"/>
                </w:tcPr>
                <w:p>
                  <w:pPr>
                    <w:spacing w:line="240" w:lineRule="exact"/>
                    <w:jc w:val="center"/>
                    <w:rPr>
                      <w:szCs w:val="21"/>
                    </w:rPr>
                  </w:pPr>
                  <w:r>
                    <w:rPr>
                      <w:rFonts w:hint="eastAsia"/>
                      <w:szCs w:val="21"/>
                    </w:rPr>
                    <w:t>环评预估</w:t>
                  </w:r>
                </w:p>
              </w:tc>
              <w:tc>
                <w:tcPr>
                  <w:tcW w:w="2022" w:type="pct"/>
                  <w:gridSpan w:val="2"/>
                  <w:tcBorders>
                    <w:bottom w:val="single" w:color="auto" w:sz="4" w:space="0"/>
                  </w:tcBorders>
                  <w:vAlign w:val="center"/>
                </w:tcPr>
                <w:p>
                  <w:pPr>
                    <w:spacing w:line="240" w:lineRule="exact"/>
                    <w:jc w:val="center"/>
                    <w:rPr>
                      <w:szCs w:val="21"/>
                    </w:rPr>
                  </w:pPr>
                  <w:r>
                    <w:rPr>
                      <w:rFonts w:hint="eastAsia"/>
                      <w:szCs w:val="21"/>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43" w:type="pct"/>
                  <w:vMerge w:val="continue"/>
                  <w:vAlign w:val="center"/>
                </w:tcPr>
                <w:p>
                  <w:pPr>
                    <w:spacing w:line="240" w:lineRule="exact"/>
                    <w:jc w:val="center"/>
                    <w:rPr>
                      <w:szCs w:val="21"/>
                    </w:rPr>
                  </w:pPr>
                </w:p>
              </w:tc>
              <w:tc>
                <w:tcPr>
                  <w:tcW w:w="1248" w:type="pct"/>
                  <w:vAlign w:val="center"/>
                </w:tcPr>
                <w:p>
                  <w:pPr>
                    <w:spacing w:line="240" w:lineRule="exact"/>
                    <w:jc w:val="center"/>
                    <w:rPr>
                      <w:szCs w:val="21"/>
                    </w:rPr>
                  </w:pPr>
                  <w:r>
                    <w:rPr>
                      <w:rFonts w:hint="eastAsia"/>
                      <w:szCs w:val="21"/>
                    </w:rPr>
                    <w:t>类别</w:t>
                  </w:r>
                </w:p>
              </w:tc>
              <w:tc>
                <w:tcPr>
                  <w:tcW w:w="886" w:type="pct"/>
                  <w:vAlign w:val="center"/>
                </w:tcPr>
                <w:p>
                  <w:pPr>
                    <w:spacing w:line="240" w:lineRule="exact"/>
                    <w:jc w:val="center"/>
                    <w:rPr>
                      <w:szCs w:val="21"/>
                    </w:rPr>
                  </w:pPr>
                  <w:r>
                    <w:rPr>
                      <w:rFonts w:hint="eastAsia"/>
                      <w:szCs w:val="21"/>
                    </w:rPr>
                    <w:t>投资（万元）</w:t>
                  </w:r>
                </w:p>
              </w:tc>
              <w:tc>
                <w:tcPr>
                  <w:tcW w:w="1219" w:type="pct"/>
                  <w:tcBorders>
                    <w:bottom w:val="single" w:color="auto" w:sz="4" w:space="0"/>
                  </w:tcBorders>
                  <w:vAlign w:val="center"/>
                </w:tcPr>
                <w:p>
                  <w:pPr>
                    <w:spacing w:line="240" w:lineRule="exact"/>
                    <w:jc w:val="center"/>
                    <w:rPr>
                      <w:szCs w:val="21"/>
                    </w:rPr>
                  </w:pPr>
                  <w:r>
                    <w:rPr>
                      <w:rFonts w:hint="eastAsia"/>
                      <w:szCs w:val="21"/>
                    </w:rPr>
                    <w:t>类别</w:t>
                  </w:r>
                </w:p>
              </w:tc>
              <w:tc>
                <w:tcPr>
                  <w:tcW w:w="803" w:type="pct"/>
                  <w:tcBorders>
                    <w:bottom w:val="single" w:color="auto" w:sz="4" w:space="0"/>
                  </w:tcBorders>
                  <w:vAlign w:val="center"/>
                </w:tcPr>
                <w:p>
                  <w:pPr>
                    <w:spacing w:line="240" w:lineRule="exact"/>
                    <w:jc w:val="center"/>
                    <w:rPr>
                      <w:szCs w:val="21"/>
                    </w:rPr>
                  </w:pPr>
                  <w:r>
                    <w:rPr>
                      <w:rFonts w:hint="eastAsia"/>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43" w:type="pct"/>
                  <w:vAlign w:val="center"/>
                </w:tcPr>
                <w:p>
                  <w:pPr>
                    <w:jc w:val="center"/>
                    <w:rPr>
                      <w:szCs w:val="21"/>
                    </w:rPr>
                  </w:pPr>
                  <w:r>
                    <w:rPr>
                      <w:rFonts w:hint="eastAsia"/>
                      <w:szCs w:val="21"/>
                    </w:rPr>
                    <w:t>噪声</w:t>
                  </w:r>
                </w:p>
              </w:tc>
              <w:tc>
                <w:tcPr>
                  <w:tcW w:w="1248" w:type="pct"/>
                  <w:vAlign w:val="center"/>
                </w:tcPr>
                <w:p>
                  <w:pPr>
                    <w:jc w:val="center"/>
                    <w:rPr>
                      <w:szCs w:val="21"/>
                    </w:rPr>
                  </w:pPr>
                  <w:r>
                    <w:rPr>
                      <w:rFonts w:hint="eastAsia"/>
                      <w:szCs w:val="21"/>
                    </w:rPr>
                    <w:t>主变降噪</w:t>
                  </w:r>
                </w:p>
              </w:tc>
              <w:tc>
                <w:tcPr>
                  <w:tcW w:w="886" w:type="pct"/>
                  <w:vAlign w:val="center"/>
                </w:tcPr>
                <w:p>
                  <w:pPr>
                    <w:ind w:left="-105" w:leftChars="-50" w:right="-105" w:rightChars="-50"/>
                    <w:jc w:val="center"/>
                    <w:rPr>
                      <w:szCs w:val="21"/>
                    </w:rPr>
                  </w:pPr>
                  <w:r>
                    <w:rPr>
                      <w:rFonts w:hint="eastAsia"/>
                      <w:szCs w:val="21"/>
                    </w:rPr>
                    <w:t>10</w:t>
                  </w:r>
                </w:p>
              </w:tc>
              <w:tc>
                <w:tcPr>
                  <w:tcW w:w="1219" w:type="pct"/>
                  <w:vAlign w:val="center"/>
                </w:tcPr>
                <w:p>
                  <w:pPr>
                    <w:jc w:val="center"/>
                    <w:rPr>
                      <w:szCs w:val="21"/>
                    </w:rPr>
                  </w:pPr>
                  <w:r>
                    <w:rPr>
                      <w:rFonts w:hint="eastAsia"/>
                      <w:szCs w:val="21"/>
                    </w:rPr>
                    <w:t>主变降噪</w:t>
                  </w:r>
                </w:p>
              </w:tc>
              <w:tc>
                <w:tcPr>
                  <w:tcW w:w="803" w:type="pct"/>
                  <w:vAlign w:val="center"/>
                </w:tcPr>
                <w:p>
                  <w:pPr>
                    <w:ind w:left="-105" w:leftChars="-50" w:right="-105" w:rightChars="-50"/>
                    <w:jc w:val="center"/>
                    <w:rPr>
                      <w:szCs w:val="21"/>
                    </w:rPr>
                  </w:pPr>
                  <w:r>
                    <w:rPr>
                      <w:rFonts w:hint="eastAsia"/>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3" w:type="pct"/>
                  <w:vAlign w:val="center"/>
                </w:tcPr>
                <w:p>
                  <w:pPr>
                    <w:spacing w:line="300" w:lineRule="exact"/>
                    <w:jc w:val="center"/>
                    <w:rPr>
                      <w:szCs w:val="21"/>
                    </w:rPr>
                  </w:pPr>
                  <w:r>
                    <w:rPr>
                      <w:rFonts w:hint="eastAsia"/>
                      <w:szCs w:val="21"/>
                    </w:rPr>
                    <w:t>生态恢复</w:t>
                  </w:r>
                </w:p>
              </w:tc>
              <w:tc>
                <w:tcPr>
                  <w:tcW w:w="1248" w:type="pct"/>
                  <w:vAlign w:val="center"/>
                </w:tcPr>
                <w:p>
                  <w:pPr>
                    <w:widowControl/>
                    <w:spacing w:line="256" w:lineRule="exact"/>
                    <w:jc w:val="center"/>
                    <w:rPr>
                      <w:szCs w:val="21"/>
                    </w:rPr>
                  </w:pPr>
                  <w:r>
                    <w:rPr>
                      <w:rFonts w:hint="eastAsia"/>
                      <w:szCs w:val="21"/>
                    </w:rPr>
                    <w:t>周边绿化生态恢复</w:t>
                  </w:r>
                </w:p>
              </w:tc>
              <w:tc>
                <w:tcPr>
                  <w:tcW w:w="886" w:type="pct"/>
                  <w:vAlign w:val="center"/>
                </w:tcPr>
                <w:p>
                  <w:pPr>
                    <w:adjustRightInd w:val="0"/>
                    <w:snapToGrid w:val="0"/>
                    <w:spacing w:line="256" w:lineRule="exact"/>
                    <w:jc w:val="center"/>
                    <w:rPr>
                      <w:szCs w:val="21"/>
                    </w:rPr>
                  </w:pPr>
                  <w:r>
                    <w:rPr>
                      <w:rFonts w:hint="eastAsia"/>
                      <w:szCs w:val="21"/>
                    </w:rPr>
                    <w:t>5</w:t>
                  </w:r>
                </w:p>
              </w:tc>
              <w:tc>
                <w:tcPr>
                  <w:tcW w:w="1219" w:type="pct"/>
                  <w:vAlign w:val="center"/>
                </w:tcPr>
                <w:p>
                  <w:pPr>
                    <w:widowControl/>
                    <w:spacing w:line="256" w:lineRule="exact"/>
                    <w:jc w:val="center"/>
                    <w:rPr>
                      <w:szCs w:val="21"/>
                    </w:rPr>
                  </w:pPr>
                  <w:r>
                    <w:rPr>
                      <w:rFonts w:hint="eastAsia"/>
                      <w:szCs w:val="21"/>
                    </w:rPr>
                    <w:t>周边绿化生态恢复</w:t>
                  </w:r>
                </w:p>
              </w:tc>
              <w:tc>
                <w:tcPr>
                  <w:tcW w:w="803" w:type="pct"/>
                  <w:vAlign w:val="center"/>
                </w:tcPr>
                <w:p>
                  <w:pPr>
                    <w:adjustRightInd w:val="0"/>
                    <w:snapToGrid w:val="0"/>
                    <w:spacing w:line="256" w:lineRule="exact"/>
                    <w:jc w:val="center"/>
                    <w:rPr>
                      <w:szCs w:val="21"/>
                    </w:rPr>
                  </w:pPr>
                  <w:r>
                    <w:rPr>
                      <w:rFonts w:hint="eastAsia"/>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3" w:type="pct"/>
                  <w:vAlign w:val="center"/>
                </w:tcPr>
                <w:p>
                  <w:pPr>
                    <w:spacing w:line="300" w:lineRule="exact"/>
                    <w:jc w:val="center"/>
                    <w:rPr>
                      <w:szCs w:val="21"/>
                    </w:rPr>
                  </w:pPr>
                  <w:r>
                    <w:rPr>
                      <w:rFonts w:hint="eastAsia"/>
                      <w:szCs w:val="21"/>
                    </w:rPr>
                    <w:t>风险防控</w:t>
                  </w:r>
                </w:p>
              </w:tc>
              <w:tc>
                <w:tcPr>
                  <w:tcW w:w="1248" w:type="pct"/>
                  <w:vAlign w:val="center"/>
                </w:tcPr>
                <w:p>
                  <w:pPr>
                    <w:widowControl/>
                    <w:spacing w:line="256" w:lineRule="exact"/>
                    <w:jc w:val="center"/>
                    <w:rPr>
                      <w:szCs w:val="21"/>
                    </w:rPr>
                  </w:pPr>
                  <w:r>
                    <w:rPr>
                      <w:rFonts w:hint="eastAsia"/>
                      <w:szCs w:val="21"/>
                    </w:rPr>
                    <w:t>事故油池</w:t>
                  </w:r>
                </w:p>
              </w:tc>
              <w:tc>
                <w:tcPr>
                  <w:tcW w:w="886" w:type="pct"/>
                  <w:vAlign w:val="center"/>
                </w:tcPr>
                <w:p>
                  <w:pPr>
                    <w:adjustRightInd w:val="0"/>
                    <w:snapToGrid w:val="0"/>
                    <w:spacing w:line="256" w:lineRule="exact"/>
                    <w:jc w:val="center"/>
                    <w:rPr>
                      <w:szCs w:val="21"/>
                    </w:rPr>
                  </w:pPr>
                  <w:r>
                    <w:rPr>
                      <w:rFonts w:hint="eastAsia"/>
                      <w:szCs w:val="21"/>
                    </w:rPr>
                    <w:t>3</w:t>
                  </w:r>
                </w:p>
              </w:tc>
              <w:tc>
                <w:tcPr>
                  <w:tcW w:w="1219" w:type="pct"/>
                  <w:vAlign w:val="center"/>
                </w:tcPr>
                <w:p>
                  <w:pPr>
                    <w:widowControl/>
                    <w:spacing w:line="256" w:lineRule="exact"/>
                    <w:jc w:val="center"/>
                    <w:rPr>
                      <w:szCs w:val="21"/>
                    </w:rPr>
                  </w:pPr>
                  <w:r>
                    <w:rPr>
                      <w:rFonts w:hint="eastAsia"/>
                      <w:szCs w:val="21"/>
                    </w:rPr>
                    <w:t>事故油池</w:t>
                  </w:r>
                </w:p>
              </w:tc>
              <w:tc>
                <w:tcPr>
                  <w:tcW w:w="803" w:type="pct"/>
                  <w:vAlign w:val="center"/>
                </w:tcPr>
                <w:p>
                  <w:pPr>
                    <w:adjustRightInd w:val="0"/>
                    <w:snapToGrid w:val="0"/>
                    <w:spacing w:line="256" w:lineRule="exact"/>
                    <w:jc w:val="center"/>
                    <w:rPr>
                      <w:szCs w:val="21"/>
                    </w:rPr>
                  </w:pPr>
                  <w:r>
                    <w:rPr>
                      <w:rFonts w:hint="eastAsia"/>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43" w:type="pct"/>
                  <w:vAlign w:val="center"/>
                </w:tcPr>
                <w:p>
                  <w:pPr>
                    <w:jc w:val="center"/>
                    <w:rPr>
                      <w:szCs w:val="21"/>
                    </w:rPr>
                  </w:pPr>
                  <w:r>
                    <w:rPr>
                      <w:rFonts w:hint="eastAsia"/>
                      <w:szCs w:val="21"/>
                    </w:rPr>
                    <w:t>其他</w:t>
                  </w:r>
                </w:p>
              </w:tc>
              <w:tc>
                <w:tcPr>
                  <w:tcW w:w="1248" w:type="pct"/>
                  <w:vAlign w:val="center"/>
                </w:tcPr>
                <w:p>
                  <w:pPr>
                    <w:spacing w:line="316" w:lineRule="exact"/>
                    <w:jc w:val="center"/>
                    <w:rPr>
                      <w:szCs w:val="21"/>
                    </w:rPr>
                  </w:pPr>
                  <w:r>
                    <w:rPr>
                      <w:rFonts w:hint="eastAsia"/>
                      <w:szCs w:val="21"/>
                    </w:rPr>
                    <w:t>/</w:t>
                  </w:r>
                </w:p>
              </w:tc>
              <w:tc>
                <w:tcPr>
                  <w:tcW w:w="886" w:type="pct"/>
                  <w:vAlign w:val="center"/>
                </w:tcPr>
                <w:p>
                  <w:pPr>
                    <w:widowControl/>
                    <w:jc w:val="center"/>
                    <w:rPr>
                      <w:szCs w:val="21"/>
                    </w:rPr>
                  </w:pPr>
                  <w:r>
                    <w:rPr>
                      <w:rFonts w:hint="eastAsia"/>
                      <w:szCs w:val="21"/>
                    </w:rPr>
                    <w:t>20</w:t>
                  </w:r>
                </w:p>
              </w:tc>
              <w:tc>
                <w:tcPr>
                  <w:tcW w:w="1219" w:type="pct"/>
                  <w:vAlign w:val="center"/>
                </w:tcPr>
                <w:p>
                  <w:pPr>
                    <w:spacing w:line="316" w:lineRule="exact"/>
                    <w:jc w:val="center"/>
                    <w:rPr>
                      <w:szCs w:val="21"/>
                    </w:rPr>
                  </w:pPr>
                  <w:r>
                    <w:rPr>
                      <w:rFonts w:hint="eastAsia"/>
                      <w:szCs w:val="21"/>
                    </w:rPr>
                    <w:t>/</w:t>
                  </w:r>
                </w:p>
              </w:tc>
              <w:tc>
                <w:tcPr>
                  <w:tcW w:w="803" w:type="pct"/>
                  <w:vAlign w:val="center"/>
                </w:tcPr>
                <w:p>
                  <w:pPr>
                    <w:widowControl/>
                    <w:jc w:val="center"/>
                    <w:rPr>
                      <w:szCs w:val="21"/>
                    </w:rPr>
                  </w:pPr>
                  <w:r>
                    <w:rPr>
                      <w:rFonts w:hint="eastAsia"/>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43" w:type="pct"/>
                  <w:vAlign w:val="center"/>
                </w:tcPr>
                <w:p>
                  <w:pPr>
                    <w:jc w:val="center"/>
                    <w:rPr>
                      <w:szCs w:val="21"/>
                    </w:rPr>
                  </w:pPr>
                  <w:r>
                    <w:rPr>
                      <w:rFonts w:hint="eastAsia"/>
                      <w:szCs w:val="21"/>
                    </w:rPr>
                    <w:t>合计</w:t>
                  </w:r>
                </w:p>
              </w:tc>
              <w:tc>
                <w:tcPr>
                  <w:tcW w:w="1248" w:type="pct"/>
                  <w:vAlign w:val="center"/>
                </w:tcPr>
                <w:p>
                  <w:pPr>
                    <w:spacing w:line="316" w:lineRule="exact"/>
                    <w:jc w:val="center"/>
                    <w:rPr>
                      <w:szCs w:val="21"/>
                    </w:rPr>
                  </w:pPr>
                  <w:r>
                    <w:rPr>
                      <w:rFonts w:hint="eastAsia"/>
                      <w:szCs w:val="21"/>
                    </w:rPr>
                    <w:t>/</w:t>
                  </w:r>
                </w:p>
              </w:tc>
              <w:tc>
                <w:tcPr>
                  <w:tcW w:w="886" w:type="pct"/>
                  <w:vAlign w:val="center"/>
                </w:tcPr>
                <w:p>
                  <w:pPr>
                    <w:widowControl/>
                    <w:jc w:val="center"/>
                    <w:rPr>
                      <w:szCs w:val="21"/>
                    </w:rPr>
                  </w:pPr>
                  <w:r>
                    <w:rPr>
                      <w:rFonts w:hint="eastAsia"/>
                      <w:szCs w:val="21"/>
                    </w:rPr>
                    <w:t>38</w:t>
                  </w:r>
                </w:p>
              </w:tc>
              <w:tc>
                <w:tcPr>
                  <w:tcW w:w="1219" w:type="pct"/>
                  <w:vAlign w:val="center"/>
                </w:tcPr>
                <w:p>
                  <w:pPr>
                    <w:spacing w:line="316" w:lineRule="exact"/>
                    <w:jc w:val="center"/>
                    <w:rPr>
                      <w:szCs w:val="21"/>
                    </w:rPr>
                  </w:pPr>
                  <w:r>
                    <w:rPr>
                      <w:rFonts w:hint="eastAsia"/>
                      <w:szCs w:val="21"/>
                    </w:rPr>
                    <w:t>/</w:t>
                  </w:r>
                </w:p>
              </w:tc>
              <w:tc>
                <w:tcPr>
                  <w:tcW w:w="803" w:type="pct"/>
                  <w:vAlign w:val="center"/>
                </w:tcPr>
                <w:p>
                  <w:pPr>
                    <w:widowControl/>
                    <w:jc w:val="center"/>
                    <w:rPr>
                      <w:szCs w:val="21"/>
                    </w:rPr>
                  </w:pPr>
                  <w:r>
                    <w:rPr>
                      <w:rFonts w:hint="eastAsia"/>
                      <w:szCs w:val="21"/>
                    </w:rPr>
                    <w:t>38</w:t>
                  </w:r>
                </w:p>
              </w:tc>
            </w:tr>
          </w:tbl>
          <w:p>
            <w:pPr>
              <w:spacing w:line="360" w:lineRule="auto"/>
              <w:ind w:firstLine="420" w:firstLineChars="200"/>
              <w:jc w:val="left"/>
              <w:rPr>
                <w:szCs w:val="21"/>
              </w:rPr>
            </w:pPr>
          </w:p>
        </w:tc>
      </w:tr>
    </w:tbl>
    <w:p>
      <w:pPr>
        <w:spacing w:before="248" w:line="185" w:lineRule="auto"/>
        <w:ind w:firstLine="587"/>
        <w:rPr>
          <w:rFonts w:ascii="黑体" w:hAnsi="黑体" w:eastAsia="黑体" w:cs="黑体"/>
          <w:spacing w:val="-4"/>
          <w:sz w:val="28"/>
          <w:szCs w:val="28"/>
        </w:rPr>
      </w:pPr>
    </w:p>
    <w:p>
      <w:pPr>
        <w:spacing w:before="248" w:line="185" w:lineRule="auto"/>
        <w:ind w:firstLine="587"/>
        <w:rPr>
          <w:rFonts w:ascii="黑体" w:hAnsi="黑体" w:eastAsia="黑体" w:cs="黑体"/>
          <w:spacing w:val="-4"/>
          <w:sz w:val="28"/>
          <w:szCs w:val="28"/>
        </w:rPr>
      </w:pPr>
    </w:p>
    <w:p>
      <w:pPr>
        <w:spacing w:line="360" w:lineRule="auto"/>
        <w:jc w:val="left"/>
        <w:outlineLvl w:val="0"/>
        <w:rPr>
          <w:rFonts w:ascii="宋体" w:hAnsi="宋体" w:cs="宋体"/>
          <w:b/>
          <w:bCs/>
          <w:sz w:val="28"/>
          <w:szCs w:val="28"/>
        </w:rPr>
      </w:pPr>
      <w:bookmarkStart w:id="7" w:name="_Toc10860"/>
      <w:r>
        <w:rPr>
          <w:rFonts w:hint="eastAsia" w:ascii="宋体" w:hAnsi="宋体" w:cs="宋体"/>
          <w:b/>
          <w:bCs/>
          <w:spacing w:val="-4"/>
          <w:sz w:val="28"/>
          <w:szCs w:val="28"/>
        </w:rPr>
        <w:t>表</w:t>
      </w:r>
      <w:r>
        <w:rPr>
          <w:rFonts w:hint="eastAsia" w:ascii="宋体" w:hAnsi="宋体" w:cs="宋体"/>
          <w:b/>
          <w:bCs/>
          <w:spacing w:val="-53"/>
          <w:sz w:val="28"/>
          <w:szCs w:val="28"/>
        </w:rPr>
        <w:t>六</w:t>
      </w:r>
      <w:r>
        <w:rPr>
          <w:rFonts w:hint="eastAsia" w:ascii="宋体" w:hAnsi="宋体" w:cs="宋体"/>
          <w:b/>
          <w:bCs/>
          <w:spacing w:val="-53"/>
          <w:sz w:val="28"/>
          <w:szCs w:val="28"/>
          <w:lang w:val="en-US" w:eastAsia="zh-CN"/>
        </w:rPr>
        <w:t xml:space="preserve">    </w:t>
      </w:r>
      <w:r>
        <w:rPr>
          <w:rFonts w:hint="eastAsia" w:ascii="宋体" w:hAnsi="宋体" w:cs="宋体"/>
          <w:b/>
          <w:bCs/>
          <w:spacing w:val="-4"/>
          <w:sz w:val="28"/>
          <w:szCs w:val="28"/>
        </w:rPr>
        <w:t>环境影响评价回顾</w:t>
      </w:r>
      <w:bookmarkEnd w:id="7"/>
    </w:p>
    <w:p>
      <w:pPr>
        <w:spacing w:line="80" w:lineRule="exact"/>
      </w:pPr>
    </w:p>
    <w:tbl>
      <w:tblPr>
        <w:tblStyle w:val="120"/>
        <w:tblW w:w="950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26" w:hRule="atLeast"/>
        </w:trPr>
        <w:tc>
          <w:tcPr>
            <w:tcW w:w="9503" w:type="dxa"/>
          </w:tcPr>
          <w:p>
            <w:pPr>
              <w:spacing w:line="360" w:lineRule="auto"/>
              <w:ind w:firstLine="422" w:firstLineChars="200"/>
              <w:rPr>
                <w:rFonts w:ascii="宋体" w:hAnsi="宋体" w:cs="宋体"/>
                <w:szCs w:val="21"/>
              </w:rPr>
            </w:pPr>
            <w:bookmarkStart w:id="8" w:name="_bookmark5"/>
            <w:bookmarkEnd w:id="8"/>
            <w:r>
              <w:rPr>
                <w:rFonts w:hint="eastAsia"/>
                <w:b/>
                <w:bCs/>
                <w:szCs w:val="21"/>
              </w:rPr>
              <w:t>6</w:t>
            </w:r>
            <w:r>
              <w:rPr>
                <w:rFonts w:eastAsia="Times New Roman"/>
                <w:b/>
                <w:bCs/>
                <w:szCs w:val="21"/>
              </w:rPr>
              <w:t>.1</w:t>
            </w:r>
            <w:r>
              <w:rPr>
                <w:rFonts w:ascii="宋体" w:hAnsi="宋体" w:cs="宋体"/>
                <w:szCs w:val="21"/>
              </w:rPr>
              <w:t>环境影响评价的主要环境影响预测及结论（生态、声、大气、水、振动、电磁、固体废物等）</w:t>
            </w:r>
          </w:p>
          <w:p>
            <w:pPr>
              <w:spacing w:line="360" w:lineRule="auto"/>
              <w:ind w:firstLine="400" w:firstLineChars="200"/>
              <w:rPr>
                <w:rFonts w:ascii="宋体" w:hAnsi="宋体" w:cs="宋体"/>
                <w:szCs w:val="21"/>
              </w:rPr>
            </w:pPr>
            <w:r>
              <w:rPr>
                <w:rFonts w:eastAsia="Times New Roman"/>
                <w:spacing w:val="-5"/>
                <w:szCs w:val="21"/>
              </w:rPr>
              <w:t>1</w:t>
            </w:r>
            <w:r>
              <w:rPr>
                <w:rFonts w:ascii="宋体" w:hAnsi="宋体" w:cs="宋体"/>
                <w:spacing w:val="-5"/>
                <w:szCs w:val="21"/>
              </w:rPr>
              <w:t>、水环境</w:t>
            </w:r>
          </w:p>
          <w:p>
            <w:pPr>
              <w:spacing w:line="360" w:lineRule="auto"/>
              <w:ind w:firstLine="416" w:firstLineChars="200"/>
              <w:rPr>
                <w:rFonts w:ascii="宋体" w:hAnsi="宋体" w:cs="宋体"/>
                <w:szCs w:val="21"/>
              </w:rPr>
            </w:pPr>
            <w:r>
              <w:rPr>
                <w:rFonts w:ascii="宋体" w:hAnsi="宋体" w:cs="宋体"/>
                <w:spacing w:val="-1"/>
                <w:szCs w:val="21"/>
              </w:rPr>
              <w:t>本工程</w:t>
            </w:r>
            <w:r>
              <w:rPr>
                <w:rFonts w:hint="eastAsia" w:ascii="宋体" w:hAnsi="宋体" w:cs="宋体"/>
                <w:spacing w:val="-7"/>
                <w:szCs w:val="21"/>
              </w:rPr>
              <w:t>不产生废水</w:t>
            </w:r>
            <w:r>
              <w:rPr>
                <w:rFonts w:ascii="宋体" w:hAnsi="宋体" w:cs="宋体"/>
                <w:spacing w:val="-7"/>
                <w:szCs w:val="21"/>
              </w:rPr>
              <w:t>。</w:t>
            </w:r>
          </w:p>
          <w:p>
            <w:pPr>
              <w:spacing w:line="360" w:lineRule="auto"/>
              <w:ind w:firstLine="416" w:firstLineChars="200"/>
              <w:rPr>
                <w:rFonts w:ascii="宋体" w:hAnsi="宋体" w:cs="宋体"/>
                <w:szCs w:val="21"/>
              </w:rPr>
            </w:pPr>
            <w:r>
              <w:rPr>
                <w:rFonts w:eastAsia="Times New Roman"/>
                <w:spacing w:val="-1"/>
                <w:szCs w:val="21"/>
              </w:rPr>
              <w:t>2</w:t>
            </w:r>
            <w:r>
              <w:rPr>
                <w:rFonts w:ascii="宋体" w:hAnsi="宋体" w:cs="宋体"/>
                <w:spacing w:val="-1"/>
                <w:szCs w:val="21"/>
              </w:rPr>
              <w:t>、声环境</w:t>
            </w:r>
          </w:p>
          <w:p>
            <w:pPr>
              <w:spacing w:line="360" w:lineRule="auto"/>
              <w:ind w:firstLine="416" w:firstLineChars="200"/>
              <w:rPr>
                <w:rFonts w:ascii="宋体" w:hAnsi="宋体" w:cs="宋体"/>
                <w:spacing w:val="-4"/>
                <w:szCs w:val="21"/>
              </w:rPr>
            </w:pPr>
            <w:r>
              <w:rPr>
                <w:rFonts w:hint="eastAsia" w:ascii="宋体" w:hAnsi="宋体" w:cs="宋体"/>
                <w:spacing w:val="-1"/>
                <w:szCs w:val="21"/>
              </w:rPr>
              <w:t>110kV升压站运营器的噪声主要来自变压器</w:t>
            </w:r>
            <w:r>
              <w:rPr>
                <w:rFonts w:ascii="宋体" w:hAnsi="宋体" w:cs="宋体"/>
                <w:spacing w:val="-1"/>
                <w:szCs w:val="21"/>
              </w:rPr>
              <w:t>。根据预测，变压器噪声对周边声环境的</w:t>
            </w:r>
            <w:r>
              <w:rPr>
                <w:rFonts w:ascii="宋体" w:hAnsi="宋体" w:cs="宋体"/>
                <w:spacing w:val="-5"/>
                <w:szCs w:val="21"/>
              </w:rPr>
              <w:t>影响很小，可满足国家《声环境质量标准》关于环境噪声限值的</w:t>
            </w:r>
            <w:r>
              <w:rPr>
                <w:rFonts w:eastAsia="Times New Roman"/>
                <w:spacing w:val="-5"/>
                <w:szCs w:val="21"/>
              </w:rPr>
              <w:t>1</w:t>
            </w:r>
            <w:r>
              <w:rPr>
                <w:rFonts w:ascii="宋体" w:hAnsi="宋体" w:cs="宋体"/>
                <w:spacing w:val="-5"/>
                <w:szCs w:val="21"/>
              </w:rPr>
              <w:t>类标准要</w:t>
            </w:r>
            <w:r>
              <w:rPr>
                <w:rFonts w:ascii="宋体" w:hAnsi="宋体" w:cs="宋体"/>
                <w:spacing w:val="-4"/>
                <w:szCs w:val="21"/>
              </w:rPr>
              <w:t>求。项目区周围</w:t>
            </w:r>
            <w:r>
              <w:rPr>
                <w:rFonts w:hint="eastAsia" w:ascii="宋体" w:hAnsi="宋体" w:cs="宋体"/>
                <w:spacing w:val="-4"/>
                <w:szCs w:val="21"/>
              </w:rPr>
              <w:t>无敏感点</w:t>
            </w:r>
            <w:r>
              <w:rPr>
                <w:rFonts w:ascii="宋体" w:hAnsi="宋体" w:cs="宋体"/>
                <w:spacing w:val="-4"/>
                <w:szCs w:val="21"/>
              </w:rPr>
              <w:t>。因此，运营期的噪声对周围的声环境影响很小。</w:t>
            </w:r>
          </w:p>
          <w:p>
            <w:pPr>
              <w:spacing w:line="360" w:lineRule="auto"/>
              <w:ind w:firstLine="416" w:firstLineChars="200"/>
              <w:rPr>
                <w:rFonts w:ascii="宋体" w:hAnsi="宋体" w:cs="宋体"/>
                <w:szCs w:val="21"/>
              </w:rPr>
            </w:pPr>
            <w:r>
              <w:rPr>
                <w:rFonts w:eastAsia="Times New Roman"/>
                <w:spacing w:val="-1"/>
                <w:szCs w:val="21"/>
              </w:rPr>
              <w:t>3</w:t>
            </w:r>
            <w:r>
              <w:rPr>
                <w:rFonts w:ascii="宋体" w:hAnsi="宋体" w:cs="宋体"/>
                <w:spacing w:val="-1"/>
                <w:szCs w:val="21"/>
              </w:rPr>
              <w:t>、固体废物</w:t>
            </w:r>
          </w:p>
          <w:p>
            <w:pPr>
              <w:spacing w:line="360" w:lineRule="auto"/>
              <w:ind w:firstLine="404" w:firstLineChars="200"/>
              <w:rPr>
                <w:rFonts w:ascii="宋体" w:hAnsi="宋体" w:cs="宋体"/>
                <w:szCs w:val="21"/>
              </w:rPr>
            </w:pPr>
            <w:r>
              <w:rPr>
                <w:rFonts w:ascii="宋体" w:hAnsi="宋体" w:cs="宋体"/>
                <w:spacing w:val="-4"/>
                <w:szCs w:val="21"/>
              </w:rPr>
              <w:t>本次项目投产运行后，其固废排放仅为生活垃圾，委托环卫部门统一收集处理，对周围环境影响</w:t>
            </w:r>
            <w:r>
              <w:rPr>
                <w:rFonts w:ascii="宋体" w:hAnsi="宋体" w:cs="宋体"/>
                <w:spacing w:val="-1"/>
                <w:szCs w:val="21"/>
              </w:rPr>
              <w:t>很小。</w:t>
            </w:r>
            <w:r>
              <w:rPr>
                <w:rFonts w:hint="eastAsia" w:ascii="宋体" w:hAnsi="宋体" w:cs="宋体"/>
                <w:spacing w:val="-1"/>
                <w:szCs w:val="21"/>
              </w:rPr>
              <w:t>废铅蓄电池、废液压油由</w:t>
            </w:r>
            <w:r>
              <w:rPr>
                <w:rFonts w:hint="eastAsia" w:ascii="宋体" w:hAnsi="宋体" w:cs="宋体"/>
                <w:color w:val="000000" w:themeColor="text1"/>
                <w:spacing w:val="-1"/>
                <w:szCs w:val="21"/>
                <w:lang w:val="en-US" w:eastAsia="zh-CN"/>
              </w:rPr>
              <w:t>有资质的单位处理</w:t>
            </w:r>
            <w:r>
              <w:rPr>
                <w:rFonts w:ascii="宋体" w:hAnsi="宋体" w:cs="宋体"/>
                <w:spacing w:val="-1"/>
                <w:szCs w:val="21"/>
              </w:rPr>
              <w:t>。</w:t>
            </w:r>
          </w:p>
          <w:p>
            <w:pPr>
              <w:spacing w:line="360" w:lineRule="auto"/>
              <w:ind w:firstLine="416" w:firstLineChars="200"/>
              <w:rPr>
                <w:rFonts w:ascii="宋体" w:hAnsi="宋体" w:cs="宋体"/>
                <w:szCs w:val="21"/>
              </w:rPr>
            </w:pPr>
            <w:r>
              <w:rPr>
                <w:rFonts w:eastAsia="Times New Roman"/>
                <w:spacing w:val="-1"/>
                <w:szCs w:val="21"/>
              </w:rPr>
              <w:t>4</w:t>
            </w:r>
            <w:r>
              <w:rPr>
                <w:rFonts w:ascii="宋体" w:hAnsi="宋体" w:cs="宋体"/>
                <w:spacing w:val="-1"/>
                <w:szCs w:val="21"/>
              </w:rPr>
              <w:t>、电磁辐射</w:t>
            </w:r>
          </w:p>
          <w:p>
            <w:pPr>
              <w:spacing w:line="360" w:lineRule="auto"/>
              <w:ind w:firstLine="396" w:firstLineChars="200"/>
              <w:rPr>
                <w:rFonts w:ascii="宋体" w:hAnsi="宋体" w:cs="宋体"/>
                <w:szCs w:val="21"/>
              </w:rPr>
            </w:pPr>
            <w:r>
              <w:rPr>
                <w:rFonts w:ascii="宋体" w:hAnsi="宋体" w:cs="宋体"/>
                <w:spacing w:val="-6"/>
                <w:szCs w:val="21"/>
              </w:rPr>
              <w:t>本项日使用的</w:t>
            </w:r>
            <w:r>
              <w:rPr>
                <w:rFonts w:hint="eastAsia"/>
                <w:spacing w:val="-6"/>
                <w:szCs w:val="21"/>
              </w:rPr>
              <w:t>110</w:t>
            </w:r>
            <w:r>
              <w:rPr>
                <w:rFonts w:eastAsia="Times New Roman"/>
                <w:spacing w:val="-6"/>
                <w:szCs w:val="21"/>
              </w:rPr>
              <w:t>kV</w:t>
            </w:r>
            <w:r>
              <w:rPr>
                <w:rFonts w:ascii="宋体" w:hAnsi="宋体" w:cs="宋体"/>
                <w:spacing w:val="-6"/>
                <w:szCs w:val="21"/>
              </w:rPr>
              <w:t>升压</w:t>
            </w:r>
            <w:r>
              <w:rPr>
                <w:rFonts w:hint="eastAsia" w:ascii="宋体" w:hAnsi="宋体" w:cs="宋体"/>
                <w:spacing w:val="-6"/>
                <w:szCs w:val="21"/>
              </w:rPr>
              <w:t>站的电气设备进行合理布局，保证导体和电气设备安全距离，选用具有抗干扰能力的设备，设置防雷接地保护装置。</w:t>
            </w:r>
          </w:p>
          <w:p>
            <w:pPr>
              <w:spacing w:line="360" w:lineRule="auto"/>
              <w:ind w:firstLine="416" w:firstLineChars="200"/>
              <w:rPr>
                <w:rFonts w:ascii="宋体" w:hAnsi="宋体" w:cs="宋体"/>
                <w:szCs w:val="21"/>
              </w:rPr>
            </w:pPr>
            <w:r>
              <w:rPr>
                <w:rFonts w:ascii="宋体" w:hAnsi="宋体" w:cs="宋体"/>
                <w:spacing w:val="-1"/>
                <w:szCs w:val="21"/>
              </w:rPr>
              <w:t>通过以上分析可知，项目</w:t>
            </w:r>
            <w:r>
              <w:rPr>
                <w:rFonts w:hint="eastAsia"/>
                <w:spacing w:val="-1"/>
                <w:szCs w:val="21"/>
              </w:rPr>
              <w:t>110</w:t>
            </w:r>
            <w:r>
              <w:rPr>
                <w:rFonts w:eastAsia="Times New Roman"/>
                <w:spacing w:val="-1"/>
                <w:szCs w:val="21"/>
              </w:rPr>
              <w:t>kV</w:t>
            </w:r>
            <w:r>
              <w:rPr>
                <w:rFonts w:ascii="宋体" w:hAnsi="宋体" w:cs="宋体"/>
                <w:spacing w:val="-1"/>
                <w:szCs w:val="21"/>
              </w:rPr>
              <w:t>升压站工程运行后产生的工频</w:t>
            </w:r>
            <w:r>
              <w:rPr>
                <w:rFonts w:ascii="宋体" w:hAnsi="宋体" w:cs="宋体"/>
                <w:spacing w:val="-2"/>
                <w:szCs w:val="21"/>
              </w:rPr>
              <w:t>电场强度、工频磁感应强度满足推荐限值要求，对周围环境影响很小。</w:t>
            </w:r>
          </w:p>
          <w:p>
            <w:pPr>
              <w:spacing w:line="360" w:lineRule="auto"/>
              <w:ind w:firstLine="412" w:firstLineChars="200"/>
              <w:rPr>
                <w:rFonts w:ascii="宋体" w:hAnsi="宋体" w:cs="宋体"/>
                <w:szCs w:val="21"/>
              </w:rPr>
            </w:pPr>
            <w:r>
              <w:rPr>
                <w:rFonts w:eastAsia="Times New Roman"/>
                <w:spacing w:val="-2"/>
                <w:szCs w:val="21"/>
              </w:rPr>
              <w:t>5</w:t>
            </w:r>
            <w:r>
              <w:rPr>
                <w:rFonts w:ascii="宋体" w:hAnsi="宋体" w:cs="宋体"/>
                <w:spacing w:val="-2"/>
                <w:szCs w:val="21"/>
              </w:rPr>
              <w:t>、</w:t>
            </w:r>
            <w:r>
              <w:rPr>
                <w:rFonts w:hint="eastAsia" w:ascii="宋体" w:hAnsi="宋体" w:cs="宋体"/>
                <w:spacing w:val="-2"/>
                <w:szCs w:val="21"/>
              </w:rPr>
              <w:t>生态恢复</w:t>
            </w:r>
          </w:p>
          <w:p>
            <w:pPr>
              <w:spacing w:line="360" w:lineRule="auto"/>
              <w:ind w:firstLine="416" w:firstLineChars="200"/>
              <w:rPr>
                <w:rFonts w:ascii="宋体" w:hAnsi="宋体" w:cs="宋体"/>
                <w:szCs w:val="21"/>
              </w:rPr>
            </w:pPr>
            <w:r>
              <w:rPr>
                <w:rFonts w:ascii="宋体" w:hAnsi="宋体" w:cs="宋体"/>
                <w:spacing w:val="-1"/>
                <w:szCs w:val="21"/>
              </w:rPr>
              <w:t>本项目</w:t>
            </w:r>
            <w:r>
              <w:rPr>
                <w:rFonts w:hint="eastAsia" w:ascii="宋体" w:hAnsi="宋体" w:cs="宋体"/>
                <w:spacing w:val="-1"/>
                <w:szCs w:val="21"/>
              </w:rPr>
              <w:t>建设后，进行了植被的绿化的种植和生态的绿化，对周边的生态环境影响较小</w:t>
            </w:r>
            <w:r>
              <w:rPr>
                <w:rFonts w:ascii="宋体" w:hAnsi="宋体" w:cs="宋体"/>
                <w:spacing w:val="-1"/>
                <w:szCs w:val="21"/>
              </w:rPr>
              <w:t>。</w:t>
            </w:r>
          </w:p>
        </w:tc>
      </w:tr>
    </w:tbl>
    <w:p>
      <w:pPr>
        <w:pStyle w:val="4"/>
        <w:spacing w:before="0" w:after="0" w:line="240" w:lineRule="auto"/>
        <w:rPr>
          <w:sz w:val="28"/>
        </w:rPr>
        <w:sectPr>
          <w:headerReference r:id="rId3" w:type="default"/>
          <w:footerReference r:id="rId4" w:type="default"/>
          <w:type w:val="continuous"/>
          <w:pgSz w:w="11906" w:h="16838"/>
          <w:pgMar w:top="851" w:right="1134" w:bottom="851" w:left="1134" w:header="567" w:footer="567" w:gutter="0"/>
          <w:pgNumType w:start="0"/>
          <w:cols w:space="720" w:num="1"/>
          <w:titlePg/>
          <w:docGrid w:linePitch="312" w:charSpace="0"/>
        </w:sectPr>
      </w:pPr>
    </w:p>
    <w:p>
      <w:pPr>
        <w:pStyle w:val="4"/>
        <w:tabs>
          <w:tab w:val="left" w:pos="7275"/>
        </w:tabs>
        <w:spacing w:beforeLines="50" w:afterLines="50" w:line="240" w:lineRule="auto"/>
        <w:rPr>
          <w:sz w:val="28"/>
          <w:szCs w:val="28"/>
        </w:rPr>
      </w:pPr>
      <w:bookmarkStart w:id="9" w:name="_Toc17602"/>
      <w:r>
        <w:rPr>
          <w:sz w:val="28"/>
          <w:szCs w:val="28"/>
        </w:rPr>
        <w:t>表</w:t>
      </w:r>
      <w:r>
        <w:rPr>
          <w:rFonts w:hint="eastAsia"/>
          <w:sz w:val="28"/>
          <w:szCs w:val="28"/>
        </w:rPr>
        <w:t>七 建设项目环评报告表审批部门审批决定</w:t>
      </w:r>
      <w:bookmarkEnd w:id="9"/>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3" w:hRule="atLeast"/>
          <w:jc w:val="center"/>
        </w:trPr>
        <w:tc>
          <w:tcPr>
            <w:tcW w:w="5000" w:type="pct"/>
            <w:tcBorders>
              <w:top w:val="single" w:color="auto" w:sz="12" w:space="0"/>
              <w:left w:val="single" w:color="auto" w:sz="12" w:space="0"/>
              <w:bottom w:val="single" w:color="auto" w:sz="12" w:space="0"/>
              <w:right w:val="single" w:color="auto" w:sz="12" w:space="0"/>
            </w:tcBorders>
          </w:tcPr>
          <w:p>
            <w:pPr>
              <w:spacing w:line="360" w:lineRule="auto"/>
              <w:ind w:right="-34"/>
              <w:rPr>
                <w:b/>
                <w:szCs w:val="21"/>
              </w:rPr>
            </w:pPr>
            <w:r>
              <w:rPr>
                <w:rFonts w:hint="eastAsia"/>
                <w:b/>
                <w:szCs w:val="21"/>
              </w:rPr>
              <w:t>7.1 建设项目环评报告表的主要结论及建议</w:t>
            </w:r>
          </w:p>
          <w:p>
            <w:pPr>
              <w:spacing w:line="360" w:lineRule="auto"/>
              <w:ind w:firstLine="420" w:firstLineChars="200"/>
              <w:rPr>
                <w:bCs/>
                <w:szCs w:val="21"/>
              </w:rPr>
            </w:pPr>
            <w:r>
              <w:rPr>
                <w:rFonts w:hint="eastAsia"/>
                <w:bCs/>
                <w:szCs w:val="21"/>
              </w:rPr>
              <w:t>《</w:t>
            </w:r>
            <w:r>
              <w:rPr>
                <w:rFonts w:hint="eastAsia"/>
                <w:color w:val="000000" w:themeColor="text1"/>
                <w:szCs w:val="21"/>
              </w:rPr>
              <w:t>华润新能源（睢宁）有限公司一期风电项目配套110kV升压站工程环境影响报告表</w:t>
            </w:r>
            <w:r>
              <w:rPr>
                <w:rFonts w:hint="eastAsia"/>
                <w:bCs/>
                <w:szCs w:val="21"/>
              </w:rPr>
              <w:t>》中对污染防治措施的要求见表7.1。</w:t>
            </w:r>
          </w:p>
          <w:p>
            <w:pPr>
              <w:spacing w:beforeLines="30" w:line="360" w:lineRule="auto"/>
              <w:jc w:val="center"/>
              <w:rPr>
                <w:b/>
                <w:szCs w:val="21"/>
              </w:rPr>
            </w:pPr>
            <w:r>
              <w:rPr>
                <w:bCs/>
                <w:szCs w:val="21"/>
              </w:rPr>
              <w:t>表</w:t>
            </w:r>
            <w:r>
              <w:rPr>
                <w:rFonts w:hint="eastAsia"/>
                <w:bCs/>
                <w:szCs w:val="21"/>
              </w:rPr>
              <w:t>7.1 环境影响报告表中的要求</w:t>
            </w:r>
          </w:p>
          <w:tbl>
            <w:tblPr>
              <w:tblStyle w:val="3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115"/>
              <w:gridCol w:w="77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390" w:type="pct"/>
                  <w:vAlign w:val="center"/>
                </w:tcPr>
                <w:p>
                  <w:pPr>
                    <w:spacing w:line="360" w:lineRule="auto"/>
                    <w:jc w:val="center"/>
                    <w:rPr>
                      <w:szCs w:val="21"/>
                    </w:rPr>
                  </w:pPr>
                  <w:r>
                    <w:rPr>
                      <w:rFonts w:hint="eastAsia"/>
                      <w:szCs w:val="21"/>
                    </w:rPr>
                    <w:t>序号</w:t>
                  </w:r>
                </w:p>
              </w:tc>
              <w:tc>
                <w:tcPr>
                  <w:tcW w:w="4609" w:type="pct"/>
                  <w:gridSpan w:val="2"/>
                  <w:vAlign w:val="center"/>
                </w:tcPr>
                <w:p>
                  <w:pPr>
                    <w:spacing w:line="360" w:lineRule="auto"/>
                    <w:jc w:val="center"/>
                    <w:rPr>
                      <w:color w:val="000000" w:themeColor="text1"/>
                      <w:szCs w:val="21"/>
                    </w:rPr>
                  </w:pPr>
                  <w:r>
                    <w:rPr>
                      <w:rFonts w:hint="eastAsia"/>
                      <w:color w:val="000000" w:themeColor="text1"/>
                      <w:szCs w:val="21"/>
                    </w:rPr>
                    <w:t>环评报告中的要求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90" w:type="pct"/>
                  <w:vAlign w:val="center"/>
                </w:tcPr>
                <w:p>
                  <w:pPr>
                    <w:spacing w:line="360" w:lineRule="auto"/>
                    <w:jc w:val="center"/>
                    <w:rPr>
                      <w:szCs w:val="21"/>
                    </w:rPr>
                  </w:pPr>
                  <w:r>
                    <w:rPr>
                      <w:rFonts w:hint="eastAsia"/>
                      <w:szCs w:val="21"/>
                    </w:rPr>
                    <w:t>1</w:t>
                  </w:r>
                </w:p>
              </w:tc>
              <w:tc>
                <w:tcPr>
                  <w:tcW w:w="579" w:type="pct"/>
                  <w:vAlign w:val="center"/>
                </w:tcPr>
                <w:p>
                  <w:pPr>
                    <w:spacing w:line="360" w:lineRule="auto"/>
                    <w:jc w:val="center"/>
                    <w:rPr>
                      <w:szCs w:val="21"/>
                    </w:rPr>
                  </w:pPr>
                  <w:r>
                    <w:rPr>
                      <w:szCs w:val="21"/>
                    </w:rPr>
                    <w:t>废</w:t>
                  </w:r>
                  <w:r>
                    <w:rPr>
                      <w:rFonts w:hint="eastAsia"/>
                      <w:szCs w:val="21"/>
                    </w:rPr>
                    <w:t>水</w:t>
                  </w:r>
                </w:p>
              </w:tc>
              <w:tc>
                <w:tcPr>
                  <w:tcW w:w="4030" w:type="pct"/>
                  <w:vAlign w:val="center"/>
                </w:tcPr>
                <w:p>
                  <w:pPr>
                    <w:spacing w:line="360" w:lineRule="auto"/>
                    <w:jc w:val="center"/>
                    <w:rPr>
                      <w:color w:val="000000" w:themeColor="text1"/>
                      <w:szCs w:val="21"/>
                    </w:rPr>
                  </w:pPr>
                  <w:r>
                    <w:rPr>
                      <w:rFonts w:hint="eastAsia"/>
                      <w:color w:val="000000" w:themeColor="text1"/>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90" w:type="pct"/>
                  <w:vAlign w:val="center"/>
                </w:tcPr>
                <w:p>
                  <w:pPr>
                    <w:spacing w:line="360" w:lineRule="auto"/>
                    <w:jc w:val="center"/>
                    <w:rPr>
                      <w:szCs w:val="21"/>
                    </w:rPr>
                  </w:pPr>
                  <w:r>
                    <w:rPr>
                      <w:rFonts w:hint="eastAsia"/>
                      <w:szCs w:val="21"/>
                    </w:rPr>
                    <w:t>2</w:t>
                  </w:r>
                </w:p>
              </w:tc>
              <w:tc>
                <w:tcPr>
                  <w:tcW w:w="579" w:type="pct"/>
                  <w:vAlign w:val="center"/>
                </w:tcPr>
                <w:p>
                  <w:pPr>
                    <w:spacing w:line="360" w:lineRule="auto"/>
                    <w:jc w:val="center"/>
                    <w:rPr>
                      <w:szCs w:val="21"/>
                    </w:rPr>
                  </w:pPr>
                  <w:r>
                    <w:rPr>
                      <w:szCs w:val="21"/>
                    </w:rPr>
                    <w:t>废</w:t>
                  </w:r>
                  <w:r>
                    <w:rPr>
                      <w:rFonts w:hint="eastAsia"/>
                      <w:szCs w:val="21"/>
                    </w:rPr>
                    <w:t>气</w:t>
                  </w:r>
                </w:p>
              </w:tc>
              <w:tc>
                <w:tcPr>
                  <w:tcW w:w="4030" w:type="pct"/>
                  <w:vAlign w:val="center"/>
                </w:tcPr>
                <w:p>
                  <w:pPr>
                    <w:spacing w:line="360" w:lineRule="auto"/>
                    <w:ind w:left="-105" w:leftChars="-50" w:right="-105" w:rightChars="-50"/>
                    <w:jc w:val="center"/>
                    <w:rPr>
                      <w:szCs w:val="21"/>
                    </w:rPr>
                  </w:pPr>
                  <w:r>
                    <w:rPr>
                      <w:rFonts w:hint="eastAsia"/>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90" w:type="pct"/>
                  <w:vAlign w:val="center"/>
                </w:tcPr>
                <w:p>
                  <w:pPr>
                    <w:spacing w:line="360" w:lineRule="auto"/>
                    <w:jc w:val="center"/>
                    <w:rPr>
                      <w:szCs w:val="21"/>
                    </w:rPr>
                  </w:pPr>
                  <w:r>
                    <w:rPr>
                      <w:rFonts w:hint="eastAsia"/>
                      <w:szCs w:val="21"/>
                    </w:rPr>
                    <w:t>3</w:t>
                  </w:r>
                </w:p>
              </w:tc>
              <w:tc>
                <w:tcPr>
                  <w:tcW w:w="579" w:type="pct"/>
                  <w:vAlign w:val="center"/>
                </w:tcPr>
                <w:p>
                  <w:pPr>
                    <w:spacing w:line="360" w:lineRule="auto"/>
                    <w:jc w:val="center"/>
                    <w:rPr>
                      <w:szCs w:val="21"/>
                    </w:rPr>
                  </w:pPr>
                  <w:r>
                    <w:rPr>
                      <w:szCs w:val="21"/>
                    </w:rPr>
                    <w:t>噪声</w:t>
                  </w:r>
                </w:p>
              </w:tc>
              <w:tc>
                <w:tcPr>
                  <w:tcW w:w="4030" w:type="pct"/>
                  <w:vAlign w:val="center"/>
                </w:tcPr>
                <w:p>
                  <w:pPr>
                    <w:widowControl/>
                    <w:spacing w:line="360" w:lineRule="auto"/>
                    <w:jc w:val="center"/>
                    <w:rPr>
                      <w:szCs w:val="21"/>
                    </w:rPr>
                  </w:pPr>
                  <w:r>
                    <w:rPr>
                      <w:rFonts w:hint="eastAsia"/>
                      <w:szCs w:val="21"/>
                    </w:rPr>
                    <w:t>本项目对产生噪声设备进行了合理的布局，同时采取降噪、消声、绿化及吸声等降噪措施，升压站噪声达到《工业企业厂界环境噪声排放标准》（GB12348-2008）1类标准要求。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390" w:type="pct"/>
                  <w:vAlign w:val="center"/>
                </w:tcPr>
                <w:p>
                  <w:pPr>
                    <w:spacing w:line="360" w:lineRule="auto"/>
                    <w:jc w:val="center"/>
                    <w:rPr>
                      <w:szCs w:val="21"/>
                    </w:rPr>
                  </w:pPr>
                  <w:r>
                    <w:rPr>
                      <w:rFonts w:hint="eastAsia"/>
                      <w:szCs w:val="21"/>
                    </w:rPr>
                    <w:t>4</w:t>
                  </w:r>
                </w:p>
              </w:tc>
              <w:tc>
                <w:tcPr>
                  <w:tcW w:w="579" w:type="pct"/>
                  <w:vAlign w:val="center"/>
                </w:tcPr>
                <w:p>
                  <w:pPr>
                    <w:spacing w:line="360" w:lineRule="auto"/>
                    <w:jc w:val="center"/>
                    <w:rPr>
                      <w:szCs w:val="21"/>
                    </w:rPr>
                  </w:pPr>
                  <w:r>
                    <w:rPr>
                      <w:szCs w:val="21"/>
                    </w:rPr>
                    <w:t>固废</w:t>
                  </w:r>
                </w:p>
              </w:tc>
              <w:tc>
                <w:tcPr>
                  <w:tcW w:w="4030" w:type="pct"/>
                  <w:vAlign w:val="center"/>
                </w:tcPr>
                <w:p>
                  <w:pPr>
                    <w:widowControl/>
                    <w:spacing w:line="360" w:lineRule="auto"/>
                    <w:jc w:val="center"/>
                    <w:rPr>
                      <w:szCs w:val="21"/>
                    </w:rPr>
                  </w:pPr>
                  <w:r>
                    <w:rPr>
                      <w:rFonts w:hint="eastAsia"/>
                      <w:szCs w:val="21"/>
                    </w:rPr>
                    <w:t>本项目对其产生的固废进行分类收集后，</w:t>
                  </w:r>
                  <w:r>
                    <w:rPr>
                      <w:rFonts w:hint="eastAsia"/>
                      <w:color w:val="000000" w:themeColor="text1"/>
                      <w:szCs w:val="21"/>
                    </w:rPr>
                    <w:t>危废均由维修人员带回。</w:t>
                  </w:r>
                  <w:r>
                    <w:rPr>
                      <w:rFonts w:hint="eastAsia"/>
                      <w:szCs w:val="21"/>
                    </w:rPr>
                    <w:t>以上各种固废做到100%处理，零排放，对周围环境不会带来二次污染及其他影响。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390" w:type="pct"/>
                  <w:vAlign w:val="center"/>
                </w:tcPr>
                <w:p>
                  <w:pPr>
                    <w:spacing w:line="360" w:lineRule="auto"/>
                    <w:jc w:val="center"/>
                    <w:rPr>
                      <w:szCs w:val="21"/>
                    </w:rPr>
                  </w:pPr>
                  <w:r>
                    <w:rPr>
                      <w:rFonts w:hint="eastAsia"/>
                      <w:szCs w:val="21"/>
                    </w:rPr>
                    <w:t>5</w:t>
                  </w:r>
                </w:p>
              </w:tc>
              <w:tc>
                <w:tcPr>
                  <w:tcW w:w="579" w:type="pct"/>
                  <w:vAlign w:val="center"/>
                </w:tcPr>
                <w:p>
                  <w:pPr>
                    <w:spacing w:line="360" w:lineRule="auto"/>
                    <w:jc w:val="center"/>
                    <w:rPr>
                      <w:szCs w:val="21"/>
                    </w:rPr>
                  </w:pPr>
                  <w:r>
                    <w:rPr>
                      <w:rFonts w:hint="eastAsia"/>
                      <w:szCs w:val="21"/>
                    </w:rPr>
                    <w:t>工频电场、工频磁场</w:t>
                  </w:r>
                </w:p>
              </w:tc>
              <w:tc>
                <w:tcPr>
                  <w:tcW w:w="4030" w:type="pct"/>
                  <w:vAlign w:val="center"/>
                </w:tcPr>
                <w:p>
                  <w:pPr>
                    <w:widowControl/>
                    <w:spacing w:line="360" w:lineRule="auto"/>
                    <w:jc w:val="center"/>
                    <w:rPr>
                      <w:szCs w:val="21"/>
                    </w:rPr>
                  </w:pPr>
                  <w:r>
                    <w:rPr>
                      <w:rFonts w:hint="eastAsia"/>
                      <w:szCs w:val="21"/>
                    </w:rPr>
                    <w:t>本项目升压站电气设备布置严格按</w:t>
                  </w:r>
                  <w:r>
                    <w:rPr>
                      <w:rFonts w:hint="eastAsia"/>
                      <w:color w:val="000000" w:themeColor="text1"/>
                      <w:szCs w:val="21"/>
                    </w:rPr>
                    <w:t>照</w:t>
                  </w:r>
                  <w:r>
                    <w:rPr>
                      <w:rFonts w:hint="eastAsia"/>
                      <w:color w:val="000000" w:themeColor="text1"/>
                      <w:szCs w:val="21"/>
                      <w:lang w:val="en-US" w:eastAsia="zh-CN"/>
                    </w:rPr>
                    <w:t>环保要求及设计规范建设</w:t>
                  </w:r>
                  <w:r>
                    <w:rPr>
                      <w:rFonts w:hint="eastAsia"/>
                      <w:szCs w:val="21"/>
                    </w:rPr>
                    <w:t>，升压站工频电场、工频磁场 达到《电磁环境控制限值》（CB8702-2014）表1标准要求</w:t>
                  </w:r>
                </w:p>
              </w:tc>
            </w:tr>
          </w:tbl>
          <w:p>
            <w:pPr>
              <w:spacing w:line="360" w:lineRule="auto"/>
              <w:ind w:right="-34" w:firstLine="422" w:firstLineChars="200"/>
              <w:rPr>
                <w:b/>
                <w:szCs w:val="21"/>
              </w:rPr>
            </w:pPr>
            <w:r>
              <w:rPr>
                <w:rFonts w:hint="eastAsia"/>
                <w:b/>
                <w:szCs w:val="21"/>
              </w:rPr>
              <w:t>总结论：</w:t>
            </w:r>
          </w:p>
          <w:p>
            <w:pPr>
              <w:spacing w:line="360" w:lineRule="auto"/>
              <w:ind w:right="-34" w:firstLine="420" w:firstLineChars="200"/>
              <w:rPr>
                <w:bCs/>
                <w:szCs w:val="21"/>
              </w:rPr>
            </w:pPr>
            <w:r>
              <w:rPr>
                <w:rFonts w:hint="eastAsia"/>
                <w:bCs/>
                <w:szCs w:val="21"/>
              </w:rPr>
              <w:t>本项目符合国家、地方法律法规和产业政策要求；其拟选厂址符合当地总体规划和环保规划要求；固体废物全部得到有效利用或妥善处置；项目采取的污染防治措施可行有效，项目实施后污染物可实行达标排放，项目建设对环境的影响较小。</w:t>
            </w:r>
          </w:p>
          <w:p>
            <w:pPr>
              <w:spacing w:line="360" w:lineRule="auto"/>
              <w:ind w:right="-34" w:firstLine="422" w:firstLineChars="200"/>
              <w:rPr>
                <w:b/>
                <w:szCs w:val="21"/>
              </w:rPr>
            </w:pPr>
            <w:r>
              <w:rPr>
                <w:rFonts w:hint="eastAsia"/>
                <w:b/>
                <w:szCs w:val="21"/>
              </w:rPr>
              <w:t>建议和要求：</w:t>
            </w:r>
          </w:p>
          <w:p>
            <w:pPr>
              <w:spacing w:line="360" w:lineRule="auto"/>
              <w:ind w:right="-34"/>
              <w:rPr>
                <w:bCs/>
                <w:szCs w:val="21"/>
              </w:rPr>
            </w:pPr>
            <w:r>
              <w:rPr>
                <w:rFonts w:hint="eastAsia"/>
                <w:bCs/>
                <w:szCs w:val="21"/>
              </w:rPr>
              <w:t xml:space="preserve">    （1）要求：</w:t>
            </w:r>
          </w:p>
          <w:p>
            <w:pPr>
              <w:spacing w:line="416" w:lineRule="auto"/>
              <w:rPr>
                <w:bCs/>
                <w:szCs w:val="21"/>
              </w:rPr>
            </w:pPr>
            <w:r>
              <w:rPr>
                <w:bCs/>
                <w:szCs w:val="21"/>
              </w:rPr>
              <w:t>①上述评价结论是根据建设方提供的生产规模、</w:t>
            </w:r>
            <w:r>
              <w:rPr>
                <w:rFonts w:hint="eastAsia"/>
                <w:bCs/>
                <w:szCs w:val="21"/>
              </w:rPr>
              <w:t>地点</w:t>
            </w:r>
            <w:r>
              <w:rPr>
                <w:bCs/>
                <w:szCs w:val="21"/>
              </w:rPr>
              <w:t>及与此对应的排污情况的基础上进行的，如果生产品种、规模和排污情况有所变化，建设单位应</w:t>
            </w:r>
            <w:r>
              <w:rPr>
                <w:rFonts w:hint="eastAsia"/>
                <w:bCs/>
                <w:szCs w:val="21"/>
              </w:rPr>
              <w:t>按照</w:t>
            </w:r>
            <w:r>
              <w:rPr>
                <w:bCs/>
                <w:szCs w:val="21"/>
              </w:rPr>
              <w:t>环保部门的要求另行申报。</w:t>
            </w:r>
          </w:p>
          <w:p>
            <w:pPr>
              <w:spacing w:line="416" w:lineRule="auto"/>
              <w:ind w:firstLine="420" w:firstLineChars="200"/>
              <w:rPr>
                <w:b/>
                <w:szCs w:val="21"/>
              </w:rPr>
            </w:pPr>
            <w:r>
              <w:rPr>
                <w:bCs/>
                <w:szCs w:val="21"/>
              </w:rPr>
              <w:t>②</w:t>
            </w:r>
            <w:r>
              <w:rPr>
                <w:rFonts w:hint="eastAsia"/>
                <w:bCs/>
                <w:szCs w:val="21"/>
              </w:rPr>
              <w:t>建设单位在项目实施过程中，务必认真落实各项治理措施，加强对环保设施的运行管理，制定有效的管理规章制度，落实到人。建设单位应十分重视引进和建立先进的环保管理模式，完善管理机制，强化职工自身的环保意识。</w:t>
            </w:r>
          </w:p>
          <w:p>
            <w:pPr>
              <w:spacing w:line="360" w:lineRule="auto"/>
              <w:ind w:firstLine="420" w:firstLineChars="200"/>
              <w:rPr>
                <w:bCs/>
                <w:szCs w:val="21"/>
              </w:rPr>
            </w:pPr>
            <w:r>
              <w:rPr>
                <w:bCs/>
                <w:szCs w:val="21"/>
              </w:rPr>
              <w:t>（2）建议：</w:t>
            </w:r>
          </w:p>
          <w:p>
            <w:pPr>
              <w:spacing w:line="416" w:lineRule="auto"/>
              <w:rPr>
                <w:bCs/>
                <w:szCs w:val="21"/>
              </w:rPr>
            </w:pPr>
            <w:r>
              <w:rPr>
                <w:rFonts w:hint="eastAsia"/>
                <w:bCs/>
                <w:szCs w:val="21"/>
              </w:rPr>
              <w:t xml:space="preserve">    建设项目运营后需要在以下几个方面加强管理：</w:t>
            </w:r>
          </w:p>
          <w:p>
            <w:pPr>
              <w:spacing w:line="416" w:lineRule="auto"/>
              <w:ind w:firstLine="420" w:firstLineChars="200"/>
              <w:rPr>
                <w:bCs/>
                <w:szCs w:val="21"/>
              </w:rPr>
            </w:pPr>
            <w:r>
              <w:rPr>
                <w:rFonts w:ascii="Calibri" w:hAnsi="Calibri" w:cs="Calibri"/>
                <w:bCs/>
                <w:szCs w:val="21"/>
              </w:rPr>
              <w:t>①</w:t>
            </w:r>
            <w:r>
              <w:rPr>
                <w:rFonts w:hint="eastAsia" w:ascii="Calibri" w:hAnsi="Calibri" w:cs="Calibri"/>
                <w:bCs/>
                <w:szCs w:val="21"/>
              </w:rPr>
              <w:t>尽量选择低噪声设备，且加强对设备及噪声防治措施的维护保养，使其始终达到应有的效果，尽最大可能减少噪声对周围环境的影响。</w:t>
            </w:r>
          </w:p>
          <w:p>
            <w:pPr>
              <w:spacing w:line="416" w:lineRule="auto"/>
              <w:ind w:firstLine="420" w:firstLineChars="200"/>
              <w:rPr>
                <w:bCs/>
                <w:szCs w:val="21"/>
              </w:rPr>
            </w:pPr>
            <w:r>
              <w:rPr>
                <w:rFonts w:ascii="Calibri" w:hAnsi="Calibri" w:cs="Calibri"/>
                <w:bCs/>
                <w:szCs w:val="21"/>
              </w:rPr>
              <w:t>②</w:t>
            </w:r>
            <w:r>
              <w:rPr>
                <w:rFonts w:hint="eastAsia" w:ascii="Calibri" w:hAnsi="Calibri" w:cs="Calibri"/>
                <w:bCs/>
                <w:szCs w:val="21"/>
              </w:rPr>
              <w:t>加强对生态环境的管理，严格按照徐州市的相关要求执行。</w:t>
            </w:r>
          </w:p>
          <w:p>
            <w:pPr>
              <w:spacing w:line="416" w:lineRule="auto"/>
              <w:ind w:firstLine="420" w:firstLineChars="200"/>
              <w:rPr>
                <w:bCs/>
                <w:szCs w:val="21"/>
              </w:rPr>
            </w:pPr>
            <w:r>
              <w:rPr>
                <w:rFonts w:ascii="Calibri" w:hAnsi="Calibri" w:cs="Calibri"/>
                <w:bCs/>
                <w:szCs w:val="21"/>
              </w:rPr>
              <w:t>③</w:t>
            </w:r>
            <w:r>
              <w:rPr>
                <w:rFonts w:hint="eastAsia" w:ascii="Calibri" w:hAnsi="Calibri" w:cs="Calibri"/>
                <w:bCs/>
                <w:szCs w:val="21"/>
              </w:rPr>
              <w:t>加强业务培训和宣传教育工作，使每个员工树立节能意识、环保意识；做好与周边居民的沟通协调工作，避免引起纠纷。</w:t>
            </w:r>
          </w:p>
          <w:p>
            <w:pPr>
              <w:spacing w:line="416" w:lineRule="auto"/>
              <w:ind w:firstLine="420" w:firstLineChars="200"/>
              <w:rPr>
                <w:rFonts w:ascii="宋体" w:hAnsi="宋体" w:cs="宋体"/>
                <w:bCs/>
                <w:szCs w:val="21"/>
              </w:rPr>
            </w:pPr>
            <w:r>
              <w:rPr>
                <w:rFonts w:hint="eastAsia" w:ascii="宋体" w:hAnsi="宋体" w:cs="宋体"/>
                <w:bCs/>
                <w:szCs w:val="21"/>
              </w:rPr>
              <w:t>④严格执行“三同时”政策。</w:t>
            </w:r>
          </w:p>
          <w:p>
            <w:pPr>
              <w:spacing w:line="360" w:lineRule="auto"/>
              <w:ind w:right="-34"/>
              <w:rPr>
                <w:b/>
                <w:szCs w:val="21"/>
              </w:rPr>
            </w:pPr>
            <w:r>
              <w:rPr>
                <w:rFonts w:hint="eastAsia"/>
                <w:b/>
                <w:szCs w:val="21"/>
              </w:rPr>
              <w:t>7.2审批部门审批决定</w:t>
            </w:r>
          </w:p>
          <w:p>
            <w:pPr>
              <w:tabs>
                <w:tab w:val="left" w:pos="4350"/>
              </w:tabs>
              <w:spacing w:line="416" w:lineRule="auto"/>
              <w:ind w:firstLine="420" w:firstLineChars="200"/>
              <w:rPr>
                <w:szCs w:val="21"/>
              </w:rPr>
            </w:pPr>
            <w:r>
              <w:rPr>
                <w:rFonts w:hint="eastAsia"/>
                <w:szCs w:val="21"/>
              </w:rPr>
              <w:t>本项目于2020年8月11日</w:t>
            </w:r>
            <w:r>
              <w:rPr>
                <w:rFonts w:hint="eastAsia"/>
                <w:color w:val="000000" w:themeColor="text1"/>
                <w:szCs w:val="21"/>
              </w:rPr>
              <w:t>通过</w:t>
            </w:r>
            <w:r>
              <w:rPr>
                <w:rFonts w:hint="eastAsia"/>
                <w:szCs w:val="21"/>
              </w:rPr>
              <w:t>徐州市生态环境局（徐环辐（表）</w:t>
            </w:r>
            <w:r>
              <w:rPr>
                <w:rFonts w:hint="eastAsia"/>
                <w:szCs w:val="21"/>
                <w:lang w:val="en-US" w:eastAsia="zh-CN"/>
              </w:rPr>
              <w:t>审</w:t>
            </w:r>
            <w:r>
              <w:rPr>
                <w:rFonts w:hint="eastAsia"/>
                <w:szCs w:val="21"/>
              </w:rPr>
              <w:t>[2020]029号），具体审批意见如下：</w:t>
            </w:r>
          </w:p>
          <w:p>
            <w:pPr>
              <w:tabs>
                <w:tab w:val="left" w:pos="4350"/>
              </w:tabs>
              <w:spacing w:line="416" w:lineRule="auto"/>
              <w:ind w:firstLine="420" w:firstLineChars="200"/>
              <w:rPr>
                <w:szCs w:val="21"/>
              </w:rPr>
            </w:pPr>
            <w:r>
              <w:rPr>
                <w:rFonts w:hint="eastAsia"/>
                <w:szCs w:val="21"/>
              </w:rPr>
              <w:t>华润新能源（睢宁）有限公司：</w:t>
            </w:r>
          </w:p>
          <w:p>
            <w:pPr>
              <w:tabs>
                <w:tab w:val="left" w:pos="4350"/>
              </w:tabs>
              <w:spacing w:line="416" w:lineRule="auto"/>
              <w:ind w:firstLine="420" w:firstLineChars="200"/>
              <w:rPr>
                <w:szCs w:val="21"/>
              </w:rPr>
            </w:pPr>
            <w:r>
              <w:rPr>
                <w:rFonts w:hint="eastAsia"/>
                <w:szCs w:val="21"/>
              </w:rPr>
              <w:t>你公司报送的</w:t>
            </w:r>
            <w:r>
              <w:rPr>
                <w:szCs w:val="21"/>
              </w:rPr>
              <w:t>《</w:t>
            </w:r>
            <w:r>
              <w:rPr>
                <w:rFonts w:hint="eastAsia"/>
                <w:szCs w:val="21"/>
              </w:rPr>
              <w:t>华润新能源（睢宁）有限公司一期风电项目配套110kV升压站工程环境影响报告表</w:t>
            </w:r>
            <w:r>
              <w:rPr>
                <w:szCs w:val="21"/>
              </w:rPr>
              <w:t>》（以下简称《报告表》）</w:t>
            </w:r>
            <w:r>
              <w:rPr>
                <w:rFonts w:hint="eastAsia"/>
                <w:szCs w:val="21"/>
              </w:rPr>
              <w:t>收悉</w:t>
            </w:r>
            <w:r>
              <w:rPr>
                <w:szCs w:val="21"/>
              </w:rPr>
              <w:t>，经研究，批复如下：</w:t>
            </w:r>
          </w:p>
          <w:p>
            <w:pPr>
              <w:pStyle w:val="6"/>
              <w:numPr>
                <w:ilvl w:val="0"/>
                <w:numId w:val="1"/>
              </w:numPr>
              <w:spacing w:before="0" w:after="0"/>
              <w:ind w:firstLine="420" w:firstLineChars="200"/>
              <w:rPr>
                <w:b w:val="0"/>
                <w:bCs w:val="0"/>
                <w:sz w:val="21"/>
                <w:szCs w:val="21"/>
              </w:rPr>
            </w:pPr>
            <w:r>
              <w:rPr>
                <w:rFonts w:hint="eastAsia"/>
                <w:b w:val="0"/>
                <w:bCs w:val="0"/>
                <w:sz w:val="21"/>
                <w:szCs w:val="21"/>
              </w:rPr>
              <w:t>该输变电工程属《</w:t>
            </w:r>
            <w:r>
              <w:rPr>
                <w:rFonts w:hint="eastAsia"/>
                <w:b w:val="0"/>
                <w:bCs w:val="0"/>
                <w:color w:val="000000" w:themeColor="text1"/>
                <w:sz w:val="21"/>
                <w:szCs w:val="21"/>
                <w:lang w:val="en-US" w:eastAsia="zh-CN"/>
              </w:rPr>
              <w:t>产业</w:t>
            </w:r>
            <w:r>
              <w:rPr>
                <w:rFonts w:hint="eastAsia"/>
                <w:b w:val="0"/>
                <w:bCs w:val="0"/>
                <w:sz w:val="21"/>
                <w:szCs w:val="21"/>
              </w:rPr>
              <w:t>结构调整指导目录（2019年本）》中鼓励发展项目，符合国家产业政策。根据《报告表》评价结论，项目建设具备环境可行性。从环境保护角度考虑，我局同意你公司按《报告表》确定的方案在睢宁县高作镇官杨村建设一期风电项目配套110kV 升压站，户外布置</w:t>
            </w:r>
            <w:r>
              <w:rPr>
                <w:rFonts w:hint="eastAsia"/>
                <w:b w:val="0"/>
                <w:bCs w:val="0"/>
                <w:color w:val="FF0000"/>
                <w:sz w:val="21"/>
                <w:szCs w:val="21"/>
              </w:rPr>
              <w:t>，</w:t>
            </w:r>
            <w:r>
              <w:rPr>
                <w:rFonts w:hint="eastAsia"/>
                <w:b w:val="0"/>
                <w:bCs w:val="0"/>
                <w:sz w:val="21"/>
                <w:szCs w:val="21"/>
              </w:rPr>
              <w:t>1台主变压器，主变容量为50MVA，电压等级为110/35kV。</w:t>
            </w:r>
          </w:p>
          <w:p>
            <w:pPr>
              <w:numPr>
                <w:ilvl w:val="0"/>
                <w:numId w:val="1"/>
              </w:numPr>
              <w:spacing w:line="416" w:lineRule="auto"/>
              <w:ind w:firstLine="420" w:firstLineChars="200"/>
              <w:rPr>
                <w:szCs w:val="21"/>
              </w:rPr>
            </w:pPr>
            <w:r>
              <w:rPr>
                <w:rFonts w:hint="eastAsia"/>
                <w:szCs w:val="21"/>
              </w:rPr>
              <w:t>在工程建设和运行中认真落实《报告表》所提出的环保措施，确保污染物达标排放，做好以下工作：</w:t>
            </w:r>
          </w:p>
          <w:p>
            <w:pPr>
              <w:numPr>
                <w:ilvl w:val="0"/>
                <w:numId w:val="2"/>
              </w:numPr>
              <w:spacing w:line="416" w:lineRule="auto"/>
              <w:ind w:firstLine="420" w:firstLineChars="200"/>
              <w:rPr>
                <w:szCs w:val="21"/>
              </w:rPr>
            </w:pPr>
            <w:r>
              <w:rPr>
                <w:rFonts w:hint="eastAsia"/>
                <w:szCs w:val="21"/>
              </w:rPr>
              <w:t>严格按照环保要求及设计规范建设，确保项目运行期间周边的工频电场、工频磁场、噪声满足环保标准限制要求。</w:t>
            </w:r>
          </w:p>
          <w:p>
            <w:pPr>
              <w:pStyle w:val="6"/>
              <w:spacing w:before="0" w:after="0"/>
              <w:ind w:firstLine="420" w:firstLineChars="200"/>
              <w:rPr>
                <w:b w:val="0"/>
                <w:bCs w:val="0"/>
                <w:sz w:val="21"/>
                <w:szCs w:val="21"/>
              </w:rPr>
            </w:pPr>
            <w:r>
              <w:rPr>
                <w:rFonts w:hint="eastAsia"/>
                <w:b w:val="0"/>
                <w:bCs w:val="0"/>
                <w:sz w:val="21"/>
                <w:szCs w:val="21"/>
              </w:rPr>
              <w:t>（二）优化站区布置，选用低噪声设备并采取必要的消声降噪措施，确保厂界噪声达到相应环境功能区的要求。</w:t>
            </w:r>
          </w:p>
          <w:p>
            <w:pPr>
              <w:tabs>
                <w:tab w:val="left" w:pos="4350"/>
              </w:tabs>
              <w:spacing w:line="416" w:lineRule="auto"/>
              <w:ind w:firstLine="420" w:firstLineChars="200"/>
              <w:rPr>
                <w:szCs w:val="21"/>
              </w:rPr>
            </w:pPr>
            <w:r>
              <w:rPr>
                <w:rFonts w:hint="eastAsia"/>
                <w:szCs w:val="21"/>
              </w:rPr>
              <w:t>（三）加强施工期环境保护，落实各项环保措施，尽量减少土地占用和植被的破坏，防止发生噪声、扬尘等扰民现象，降低施工队周边环境的影响。</w:t>
            </w:r>
          </w:p>
          <w:p>
            <w:pPr>
              <w:tabs>
                <w:tab w:val="left" w:pos="4350"/>
              </w:tabs>
              <w:spacing w:line="416" w:lineRule="auto"/>
              <w:ind w:firstLine="420" w:firstLineChars="200"/>
              <w:rPr>
                <w:szCs w:val="21"/>
              </w:rPr>
            </w:pPr>
            <w:r>
              <w:rPr>
                <w:rFonts w:hint="eastAsia"/>
                <w:szCs w:val="21"/>
              </w:rPr>
              <w:t>（四）变电站内生活污水经处理后统一清运，不得外排。站内的废旧蓄电池、废变压器油及含油废水应委托有资质的单位回收处理，并办理相关环保手续。</w:t>
            </w:r>
          </w:p>
          <w:p>
            <w:pPr>
              <w:tabs>
                <w:tab w:val="left" w:pos="4350"/>
              </w:tabs>
              <w:spacing w:line="416" w:lineRule="auto"/>
              <w:ind w:firstLine="420" w:firstLineChars="200"/>
              <w:rPr>
                <w:szCs w:val="21"/>
              </w:rPr>
            </w:pPr>
            <w:r>
              <w:rPr>
                <w:rFonts w:hint="eastAsia"/>
                <w:szCs w:val="21"/>
              </w:rPr>
              <w:t>（五）做好与输变电工程相关科普知识的宣传工作，会同当地政府及相关部门对周围居民进行必要的解释、说明、取得公众对本工程建设的理解和支持。</w:t>
            </w:r>
          </w:p>
          <w:p>
            <w:pPr>
              <w:tabs>
                <w:tab w:val="left" w:pos="4350"/>
              </w:tabs>
              <w:spacing w:line="416" w:lineRule="auto"/>
              <w:ind w:firstLine="420" w:firstLineChars="200"/>
              <w:rPr>
                <w:szCs w:val="21"/>
              </w:rPr>
            </w:pPr>
            <w:r>
              <w:rPr>
                <w:rFonts w:hint="eastAsia"/>
                <w:szCs w:val="21"/>
              </w:rPr>
              <w:t>三、项目建设必须严格执行配套的环保设施于主体工程同时设计、同时施工、同时投入使用环保“三同时”制度和竣工环保验收规定。项目建设期间的现场监督管理由徐州睢宁生态环境局负责。</w:t>
            </w:r>
          </w:p>
          <w:p>
            <w:pPr>
              <w:tabs>
                <w:tab w:val="left" w:pos="4350"/>
              </w:tabs>
              <w:spacing w:line="416" w:lineRule="auto"/>
              <w:ind w:firstLine="420" w:firstLineChars="200"/>
              <w:rPr>
                <w:szCs w:val="21"/>
              </w:rPr>
            </w:pPr>
            <w:r>
              <w:rPr>
                <w:rFonts w:hint="eastAsia"/>
                <w:szCs w:val="21"/>
              </w:rPr>
              <w:t>四、本批复自下达之日起五年内有效。项目的性质、规模、地点、拟采取的环保措施发生重点变动的，应重新报批项目的环境影响评价文件。</w:t>
            </w:r>
          </w:p>
          <w:p>
            <w:pPr>
              <w:widowControl/>
              <w:spacing w:line="360" w:lineRule="auto"/>
              <w:jc w:val="left"/>
              <w:rPr>
                <w:rFonts w:cs="宋体"/>
                <w:kern w:val="0"/>
                <w:szCs w:val="21"/>
              </w:rPr>
            </w:pPr>
          </w:p>
        </w:tc>
      </w:tr>
    </w:tbl>
    <w:p>
      <w:pPr>
        <w:pStyle w:val="4"/>
        <w:tabs>
          <w:tab w:val="left" w:pos="7275"/>
        </w:tabs>
        <w:spacing w:beforeLines="50" w:afterLines="50" w:line="240" w:lineRule="auto"/>
        <w:rPr>
          <w:sz w:val="28"/>
          <w:szCs w:val="28"/>
        </w:rPr>
      </w:pPr>
      <w:bookmarkStart w:id="10" w:name="_Toc8578"/>
      <w:bookmarkStart w:id="11" w:name="_Toc295831046"/>
      <w:r>
        <w:rPr>
          <w:sz w:val="28"/>
          <w:szCs w:val="28"/>
        </w:rPr>
        <w:t>表</w:t>
      </w:r>
      <w:r>
        <w:rPr>
          <w:rFonts w:hint="eastAsia"/>
          <w:sz w:val="28"/>
          <w:szCs w:val="28"/>
        </w:rPr>
        <w:t>八 验收监测质量保证及质量控制</w:t>
      </w:r>
      <w:bookmarkEnd w:id="10"/>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9" w:hRule="atLeast"/>
          <w:jc w:val="center"/>
        </w:trPr>
        <w:tc>
          <w:tcPr>
            <w:tcW w:w="9854" w:type="dxa"/>
            <w:tcBorders>
              <w:top w:val="single" w:color="auto" w:sz="12" w:space="0"/>
              <w:left w:val="single" w:color="auto" w:sz="12" w:space="0"/>
              <w:bottom w:val="single" w:color="auto" w:sz="12" w:space="0"/>
              <w:right w:val="single" w:color="auto" w:sz="12" w:space="0"/>
            </w:tcBorders>
          </w:tcPr>
          <w:p>
            <w:pPr>
              <w:spacing w:line="360" w:lineRule="auto"/>
              <w:ind w:right="-34"/>
              <w:rPr>
                <w:szCs w:val="21"/>
              </w:rPr>
            </w:pPr>
            <w:r>
              <w:rPr>
                <w:rFonts w:hint="eastAsia"/>
                <w:szCs w:val="21"/>
              </w:rPr>
              <w:t>8</w:t>
            </w:r>
            <w:r>
              <w:rPr>
                <w:szCs w:val="21"/>
              </w:rPr>
              <w:t>.1 监测分析方法</w:t>
            </w:r>
          </w:p>
          <w:p>
            <w:pPr>
              <w:jc w:val="center"/>
              <w:rPr>
                <w:szCs w:val="21"/>
              </w:rPr>
            </w:pPr>
            <w:r>
              <w:rPr>
                <w:szCs w:val="21"/>
              </w:rPr>
              <w:t>表</w:t>
            </w:r>
            <w:r>
              <w:rPr>
                <w:rFonts w:hint="eastAsia"/>
                <w:szCs w:val="21"/>
              </w:rPr>
              <w:t>8</w:t>
            </w:r>
            <w:r>
              <w:rPr>
                <w:szCs w:val="21"/>
              </w:rPr>
              <w:t>.1 监测分析方法</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86"/>
              <w:gridCol w:w="2264"/>
              <w:gridCol w:w="3967"/>
              <w:gridCol w:w="21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7" w:type="pct"/>
                  <w:vAlign w:val="center"/>
                </w:tcPr>
                <w:p>
                  <w:pPr>
                    <w:jc w:val="center"/>
                    <w:rPr>
                      <w:szCs w:val="21"/>
                    </w:rPr>
                  </w:pPr>
                  <w:r>
                    <w:rPr>
                      <w:szCs w:val="21"/>
                    </w:rPr>
                    <w:t>类型</w:t>
                  </w:r>
                </w:p>
              </w:tc>
              <w:tc>
                <w:tcPr>
                  <w:tcW w:w="1174" w:type="pct"/>
                  <w:vAlign w:val="center"/>
                </w:tcPr>
                <w:p>
                  <w:pPr>
                    <w:jc w:val="center"/>
                    <w:rPr>
                      <w:szCs w:val="21"/>
                    </w:rPr>
                  </w:pPr>
                  <w:r>
                    <w:rPr>
                      <w:szCs w:val="21"/>
                    </w:rPr>
                    <w:t>监测因子</w:t>
                  </w:r>
                </w:p>
              </w:tc>
              <w:tc>
                <w:tcPr>
                  <w:tcW w:w="2057" w:type="pct"/>
                  <w:vAlign w:val="center"/>
                </w:tcPr>
                <w:p>
                  <w:pPr>
                    <w:jc w:val="center"/>
                    <w:rPr>
                      <w:szCs w:val="21"/>
                    </w:rPr>
                  </w:pPr>
                  <w:r>
                    <w:rPr>
                      <w:szCs w:val="21"/>
                    </w:rPr>
                    <w:t>分析方法</w:t>
                  </w:r>
                </w:p>
              </w:tc>
              <w:tc>
                <w:tcPr>
                  <w:tcW w:w="1100" w:type="pct"/>
                  <w:vAlign w:val="center"/>
                </w:tcPr>
                <w:p>
                  <w:pPr>
                    <w:jc w:val="center"/>
                    <w:rPr>
                      <w:szCs w:val="21"/>
                    </w:rPr>
                  </w:pPr>
                  <w:r>
                    <w:rPr>
                      <w:szCs w:val="21"/>
                    </w:rPr>
                    <w:t>标准编号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667" w:type="pct"/>
                  <w:vMerge w:val="restart"/>
                  <w:vAlign w:val="center"/>
                </w:tcPr>
                <w:p>
                  <w:pPr>
                    <w:jc w:val="center"/>
                    <w:rPr>
                      <w:szCs w:val="21"/>
                    </w:rPr>
                  </w:pPr>
                  <w:r>
                    <w:rPr>
                      <w:rFonts w:hint="eastAsia"/>
                      <w:szCs w:val="21"/>
                    </w:rPr>
                    <w:t>工频电场、工频磁场</w:t>
                  </w:r>
                </w:p>
              </w:tc>
              <w:tc>
                <w:tcPr>
                  <w:tcW w:w="1174" w:type="pct"/>
                  <w:vAlign w:val="center"/>
                </w:tcPr>
                <w:p>
                  <w:pPr>
                    <w:jc w:val="center"/>
                    <w:rPr>
                      <w:szCs w:val="21"/>
                    </w:rPr>
                  </w:pPr>
                  <w:r>
                    <w:rPr>
                      <w:rFonts w:hint="eastAsia"/>
                      <w:szCs w:val="21"/>
                    </w:rPr>
                    <w:t>工频电场</w:t>
                  </w:r>
                </w:p>
              </w:tc>
              <w:tc>
                <w:tcPr>
                  <w:tcW w:w="2057" w:type="pct"/>
                  <w:vAlign w:val="center"/>
                </w:tcPr>
                <w:p>
                  <w:pPr>
                    <w:jc w:val="center"/>
                    <w:rPr>
                      <w:szCs w:val="21"/>
                    </w:rPr>
                  </w:pPr>
                  <w:r>
                    <w:rPr>
                      <w:rFonts w:hint="eastAsia"/>
                      <w:szCs w:val="21"/>
                    </w:rPr>
                    <w:t>交流输变工程电磁环境监测方法</w:t>
                  </w:r>
                </w:p>
              </w:tc>
              <w:tc>
                <w:tcPr>
                  <w:tcW w:w="1100" w:type="pct"/>
                  <w:vAlign w:val="center"/>
                </w:tcPr>
                <w:p>
                  <w:pPr>
                    <w:jc w:val="center"/>
                    <w:rPr>
                      <w:szCs w:val="21"/>
                    </w:rPr>
                  </w:pPr>
                  <w:r>
                    <w:rPr>
                      <w:rFonts w:hint="eastAsia"/>
                      <w:szCs w:val="21"/>
                    </w:rPr>
                    <w:t>HJ684-2013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667" w:type="pct"/>
                  <w:vMerge w:val="continue"/>
                  <w:vAlign w:val="center"/>
                </w:tcPr>
                <w:p>
                  <w:pPr>
                    <w:jc w:val="center"/>
                    <w:rPr>
                      <w:szCs w:val="21"/>
                    </w:rPr>
                  </w:pPr>
                </w:p>
              </w:tc>
              <w:tc>
                <w:tcPr>
                  <w:tcW w:w="1174" w:type="pct"/>
                  <w:vAlign w:val="center"/>
                </w:tcPr>
                <w:p>
                  <w:pPr>
                    <w:jc w:val="center"/>
                    <w:rPr>
                      <w:szCs w:val="21"/>
                    </w:rPr>
                  </w:pPr>
                  <w:r>
                    <w:rPr>
                      <w:rFonts w:hint="eastAsia"/>
                      <w:szCs w:val="21"/>
                    </w:rPr>
                    <w:t>工频磁场</w:t>
                  </w:r>
                </w:p>
              </w:tc>
              <w:tc>
                <w:tcPr>
                  <w:tcW w:w="2057" w:type="pct"/>
                  <w:vAlign w:val="center"/>
                </w:tcPr>
                <w:p>
                  <w:pPr>
                    <w:jc w:val="center"/>
                    <w:rPr>
                      <w:szCs w:val="21"/>
                    </w:rPr>
                  </w:pPr>
                  <w:r>
                    <w:rPr>
                      <w:rFonts w:hint="eastAsia"/>
                      <w:szCs w:val="21"/>
                    </w:rPr>
                    <w:t>交流输变工程电磁环境监测方法</w:t>
                  </w:r>
                </w:p>
              </w:tc>
              <w:tc>
                <w:tcPr>
                  <w:tcW w:w="1100" w:type="pct"/>
                  <w:vAlign w:val="center"/>
                </w:tcPr>
                <w:p>
                  <w:pPr>
                    <w:jc w:val="center"/>
                    <w:rPr>
                      <w:szCs w:val="21"/>
                    </w:rPr>
                  </w:pPr>
                  <w:r>
                    <w:rPr>
                      <w:rFonts w:hint="eastAsia"/>
                      <w:szCs w:val="21"/>
                    </w:rPr>
                    <w:t>HJ684-2013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7" w:type="pct"/>
                  <w:vAlign w:val="center"/>
                </w:tcPr>
                <w:p>
                  <w:pPr>
                    <w:jc w:val="center"/>
                    <w:rPr>
                      <w:szCs w:val="21"/>
                    </w:rPr>
                  </w:pPr>
                  <w:r>
                    <w:rPr>
                      <w:szCs w:val="21"/>
                    </w:rPr>
                    <w:t>噪声</w:t>
                  </w:r>
                </w:p>
              </w:tc>
              <w:tc>
                <w:tcPr>
                  <w:tcW w:w="1174" w:type="pct"/>
                  <w:vAlign w:val="center"/>
                </w:tcPr>
                <w:p>
                  <w:pPr>
                    <w:jc w:val="center"/>
                    <w:rPr>
                      <w:color w:val="FF0000"/>
                      <w:szCs w:val="21"/>
                    </w:rPr>
                  </w:pPr>
                  <w:r>
                    <w:rPr>
                      <w:color w:val="auto"/>
                      <w:szCs w:val="21"/>
                    </w:rPr>
                    <w:t>Leq dB(A)</w:t>
                  </w:r>
                </w:p>
              </w:tc>
              <w:tc>
                <w:tcPr>
                  <w:tcW w:w="2057" w:type="pct"/>
                  <w:vAlign w:val="center"/>
                </w:tcPr>
                <w:p>
                  <w:pPr>
                    <w:jc w:val="center"/>
                    <w:rPr>
                      <w:szCs w:val="21"/>
                    </w:rPr>
                  </w:pPr>
                  <w:r>
                    <w:rPr>
                      <w:szCs w:val="21"/>
                    </w:rPr>
                    <w:t>工业企业厂界环境噪声排放标准</w:t>
                  </w:r>
                </w:p>
              </w:tc>
              <w:tc>
                <w:tcPr>
                  <w:tcW w:w="1100" w:type="pct"/>
                  <w:vAlign w:val="center"/>
                </w:tcPr>
                <w:p>
                  <w:pPr>
                    <w:jc w:val="center"/>
                    <w:rPr>
                      <w:szCs w:val="21"/>
                    </w:rPr>
                  </w:pPr>
                  <w:r>
                    <w:rPr>
                      <w:szCs w:val="21"/>
                    </w:rPr>
                    <w:t>GB12348-2008</w:t>
                  </w:r>
                </w:p>
              </w:tc>
            </w:tr>
          </w:tbl>
          <w:p>
            <w:pPr>
              <w:spacing w:line="360" w:lineRule="auto"/>
              <w:ind w:right="-34"/>
              <w:rPr>
                <w:szCs w:val="21"/>
              </w:rPr>
            </w:pPr>
          </w:p>
          <w:p>
            <w:pPr>
              <w:spacing w:line="360" w:lineRule="auto"/>
              <w:ind w:right="-34"/>
              <w:rPr>
                <w:szCs w:val="21"/>
              </w:rPr>
            </w:pPr>
            <w:r>
              <w:rPr>
                <w:rFonts w:hint="eastAsia"/>
                <w:szCs w:val="21"/>
              </w:rPr>
              <w:t>8.2 监测仪器</w:t>
            </w:r>
          </w:p>
          <w:p>
            <w:pPr>
              <w:jc w:val="center"/>
              <w:rPr>
                <w:szCs w:val="21"/>
              </w:rPr>
            </w:pPr>
            <w:r>
              <w:rPr>
                <w:szCs w:val="21"/>
              </w:rPr>
              <w:t>表</w:t>
            </w:r>
            <w:r>
              <w:rPr>
                <w:rFonts w:hint="eastAsia"/>
                <w:szCs w:val="21"/>
              </w:rPr>
              <w:t>8.</w:t>
            </w:r>
            <w:r>
              <w:rPr>
                <w:szCs w:val="21"/>
              </w:rPr>
              <w:t>2 监测使用仪器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23"/>
              <w:gridCol w:w="2831"/>
              <w:gridCol w:w="2262"/>
              <w:gridCol w:w="1986"/>
              <w:gridCol w:w="18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79" w:hRule="atLeast"/>
                <w:jc w:val="center"/>
              </w:trPr>
              <w:tc>
                <w:tcPr>
                  <w:tcW w:w="375" w:type="pct"/>
                  <w:vAlign w:val="center"/>
                </w:tcPr>
                <w:p>
                  <w:pPr>
                    <w:jc w:val="center"/>
                    <w:rPr>
                      <w:szCs w:val="21"/>
                    </w:rPr>
                  </w:pPr>
                  <w:r>
                    <w:rPr>
                      <w:szCs w:val="21"/>
                    </w:rPr>
                    <w:t>序号</w:t>
                  </w:r>
                </w:p>
              </w:tc>
              <w:tc>
                <w:tcPr>
                  <w:tcW w:w="1468" w:type="pct"/>
                  <w:vAlign w:val="center"/>
                </w:tcPr>
                <w:p>
                  <w:pPr>
                    <w:jc w:val="center"/>
                    <w:rPr>
                      <w:szCs w:val="21"/>
                    </w:rPr>
                  </w:pPr>
                  <w:r>
                    <w:rPr>
                      <w:szCs w:val="21"/>
                    </w:rPr>
                    <w:t>仪器</w:t>
                  </w:r>
                  <w:r>
                    <w:rPr>
                      <w:rFonts w:hint="eastAsia"/>
                      <w:szCs w:val="21"/>
                    </w:rPr>
                    <w:t>名称</w:t>
                  </w:r>
                </w:p>
              </w:tc>
              <w:tc>
                <w:tcPr>
                  <w:tcW w:w="1173" w:type="pct"/>
                  <w:vAlign w:val="center"/>
                </w:tcPr>
                <w:p>
                  <w:pPr>
                    <w:jc w:val="center"/>
                    <w:rPr>
                      <w:szCs w:val="21"/>
                    </w:rPr>
                  </w:pPr>
                  <w:r>
                    <w:rPr>
                      <w:szCs w:val="21"/>
                    </w:rPr>
                    <w:t>仪器</w:t>
                  </w:r>
                  <w:r>
                    <w:rPr>
                      <w:rFonts w:hint="eastAsia"/>
                      <w:szCs w:val="21"/>
                    </w:rPr>
                    <w:t>型号</w:t>
                  </w:r>
                </w:p>
              </w:tc>
              <w:tc>
                <w:tcPr>
                  <w:tcW w:w="1030" w:type="pct"/>
                  <w:vAlign w:val="center"/>
                </w:tcPr>
                <w:p>
                  <w:pPr>
                    <w:jc w:val="center"/>
                    <w:rPr>
                      <w:szCs w:val="21"/>
                    </w:rPr>
                  </w:pPr>
                  <w:r>
                    <w:rPr>
                      <w:rFonts w:hint="eastAsia"/>
                      <w:szCs w:val="21"/>
                    </w:rPr>
                    <w:t>仪器编号</w:t>
                  </w:r>
                </w:p>
              </w:tc>
              <w:tc>
                <w:tcPr>
                  <w:tcW w:w="952" w:type="pct"/>
                  <w:vAlign w:val="center"/>
                </w:tcPr>
                <w:p>
                  <w:pPr>
                    <w:jc w:val="center"/>
                    <w:rPr>
                      <w:szCs w:val="21"/>
                    </w:rPr>
                  </w:pPr>
                  <w:r>
                    <w:rPr>
                      <w:szCs w:val="21"/>
                    </w:rPr>
                    <w:t>检定/校准有效期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02" w:hRule="atLeast"/>
                <w:jc w:val="center"/>
              </w:trPr>
              <w:tc>
                <w:tcPr>
                  <w:tcW w:w="375" w:type="pct"/>
                  <w:vAlign w:val="center"/>
                </w:tcPr>
                <w:p>
                  <w:pPr>
                    <w:jc w:val="center"/>
                    <w:rPr>
                      <w:szCs w:val="21"/>
                    </w:rPr>
                  </w:pPr>
                  <w:r>
                    <w:rPr>
                      <w:rFonts w:hint="eastAsia"/>
                      <w:szCs w:val="21"/>
                    </w:rPr>
                    <w:t>1</w:t>
                  </w:r>
                </w:p>
              </w:tc>
              <w:tc>
                <w:tcPr>
                  <w:tcW w:w="1468" w:type="pct"/>
                  <w:vAlign w:val="center"/>
                </w:tcPr>
                <w:p>
                  <w:pPr>
                    <w:jc w:val="center"/>
                    <w:rPr>
                      <w:szCs w:val="21"/>
                    </w:rPr>
                  </w:pPr>
                  <w:r>
                    <w:rPr>
                      <w:rFonts w:hint="eastAsia"/>
                      <w:szCs w:val="21"/>
                    </w:rPr>
                    <w:t>手持式温湿度计</w:t>
                  </w:r>
                </w:p>
              </w:tc>
              <w:tc>
                <w:tcPr>
                  <w:tcW w:w="1173" w:type="pct"/>
                  <w:vAlign w:val="center"/>
                </w:tcPr>
                <w:p>
                  <w:pPr>
                    <w:jc w:val="center"/>
                    <w:rPr>
                      <w:szCs w:val="21"/>
                    </w:rPr>
                  </w:pPr>
                  <w:r>
                    <w:rPr>
                      <w:rFonts w:hint="eastAsia"/>
                      <w:szCs w:val="21"/>
                    </w:rPr>
                    <w:t>GRA-ENV-265</w:t>
                  </w:r>
                </w:p>
              </w:tc>
              <w:tc>
                <w:tcPr>
                  <w:tcW w:w="1030" w:type="pct"/>
                  <w:vAlign w:val="center"/>
                </w:tcPr>
                <w:p>
                  <w:pPr>
                    <w:jc w:val="center"/>
                    <w:rPr>
                      <w:szCs w:val="21"/>
                    </w:rPr>
                  </w:pPr>
                  <w:r>
                    <w:rPr>
                      <w:rFonts w:hint="eastAsia"/>
                      <w:szCs w:val="21"/>
                    </w:rPr>
                    <w:t>TES-1360A</w:t>
                  </w:r>
                </w:p>
              </w:tc>
              <w:tc>
                <w:tcPr>
                  <w:tcW w:w="952" w:type="pct"/>
                  <w:vAlign w:val="center"/>
                </w:tcPr>
                <w:p>
                  <w:pPr>
                    <w:jc w:val="center"/>
                    <w:rPr>
                      <w:szCs w:val="21"/>
                    </w:rPr>
                  </w:pPr>
                  <w:r>
                    <w:rPr>
                      <w:rFonts w:hint="eastAsia"/>
                      <w:szCs w:val="21"/>
                    </w:rPr>
                    <w:t>校准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375" w:type="pct"/>
                  <w:vAlign w:val="center"/>
                </w:tcPr>
                <w:p>
                  <w:pPr>
                    <w:jc w:val="center"/>
                    <w:rPr>
                      <w:szCs w:val="21"/>
                    </w:rPr>
                  </w:pPr>
                  <w:r>
                    <w:rPr>
                      <w:rFonts w:hint="eastAsia"/>
                      <w:szCs w:val="21"/>
                    </w:rPr>
                    <w:t>2</w:t>
                  </w:r>
                </w:p>
              </w:tc>
              <w:tc>
                <w:tcPr>
                  <w:tcW w:w="1468" w:type="pct"/>
                  <w:vAlign w:val="center"/>
                </w:tcPr>
                <w:p>
                  <w:pPr>
                    <w:jc w:val="center"/>
                    <w:rPr>
                      <w:szCs w:val="21"/>
                    </w:rPr>
                  </w:pPr>
                  <w:r>
                    <w:rPr>
                      <w:rFonts w:hint="eastAsia"/>
                      <w:szCs w:val="21"/>
                    </w:rPr>
                    <w:t>电磁辐射分析仪</w:t>
                  </w:r>
                </w:p>
              </w:tc>
              <w:tc>
                <w:tcPr>
                  <w:tcW w:w="1173" w:type="pct"/>
                  <w:vAlign w:val="center"/>
                </w:tcPr>
                <w:p>
                  <w:pPr>
                    <w:jc w:val="center"/>
                    <w:rPr>
                      <w:szCs w:val="21"/>
                    </w:rPr>
                  </w:pPr>
                  <w:r>
                    <w:rPr>
                      <w:rFonts w:hint="eastAsia"/>
                      <w:szCs w:val="21"/>
                    </w:rPr>
                    <w:t>GRA-ENV-406</w:t>
                  </w:r>
                </w:p>
              </w:tc>
              <w:tc>
                <w:tcPr>
                  <w:tcW w:w="1030" w:type="pct"/>
                  <w:vAlign w:val="center"/>
                </w:tcPr>
                <w:p>
                  <w:pPr>
                    <w:jc w:val="center"/>
                    <w:rPr>
                      <w:szCs w:val="21"/>
                    </w:rPr>
                  </w:pPr>
                  <w:r>
                    <w:rPr>
                      <w:rFonts w:hint="eastAsia"/>
                      <w:szCs w:val="21"/>
                    </w:rPr>
                    <w:t>SEM-600</w:t>
                  </w:r>
                </w:p>
              </w:tc>
              <w:tc>
                <w:tcPr>
                  <w:tcW w:w="952" w:type="pct"/>
                  <w:vAlign w:val="center"/>
                </w:tcPr>
                <w:p>
                  <w:pPr>
                    <w:jc w:val="center"/>
                    <w:rPr>
                      <w:szCs w:val="21"/>
                    </w:rPr>
                  </w:pPr>
                  <w:r>
                    <w:rPr>
                      <w:rFonts w:hint="eastAsia"/>
                      <w:szCs w:val="21"/>
                    </w:rPr>
                    <w:t>校准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375" w:type="pct"/>
                  <w:vAlign w:val="center"/>
                </w:tcPr>
                <w:p>
                  <w:pPr>
                    <w:jc w:val="center"/>
                    <w:rPr>
                      <w:szCs w:val="21"/>
                    </w:rPr>
                  </w:pPr>
                  <w:r>
                    <w:rPr>
                      <w:rFonts w:hint="eastAsia"/>
                      <w:szCs w:val="21"/>
                    </w:rPr>
                    <w:t>3</w:t>
                  </w:r>
                </w:p>
              </w:tc>
              <w:tc>
                <w:tcPr>
                  <w:tcW w:w="1468" w:type="pct"/>
                  <w:vAlign w:val="center"/>
                </w:tcPr>
                <w:p>
                  <w:pPr>
                    <w:jc w:val="center"/>
                    <w:rPr>
                      <w:szCs w:val="21"/>
                    </w:rPr>
                  </w:pPr>
                  <w:r>
                    <w:rPr>
                      <w:rFonts w:hint="eastAsia"/>
                      <w:szCs w:val="21"/>
                    </w:rPr>
                    <w:t>声级计</w:t>
                  </w:r>
                </w:p>
              </w:tc>
              <w:tc>
                <w:tcPr>
                  <w:tcW w:w="1173" w:type="pct"/>
                  <w:vAlign w:val="center"/>
                </w:tcPr>
                <w:p>
                  <w:pPr>
                    <w:jc w:val="center"/>
                    <w:rPr>
                      <w:szCs w:val="21"/>
                    </w:rPr>
                  </w:pPr>
                  <w:r>
                    <w:rPr>
                      <w:rFonts w:hint="eastAsia"/>
                      <w:szCs w:val="21"/>
                    </w:rPr>
                    <w:t>AWA6228+</w:t>
                  </w:r>
                </w:p>
              </w:tc>
              <w:tc>
                <w:tcPr>
                  <w:tcW w:w="1030" w:type="pct"/>
                  <w:vAlign w:val="center"/>
                </w:tcPr>
                <w:p>
                  <w:pPr>
                    <w:jc w:val="center"/>
                    <w:rPr>
                      <w:szCs w:val="21"/>
                    </w:rPr>
                  </w:pPr>
                  <w:r>
                    <w:rPr>
                      <w:rFonts w:hint="eastAsia"/>
                      <w:szCs w:val="21"/>
                    </w:rPr>
                    <w:t>HX-094</w:t>
                  </w:r>
                </w:p>
              </w:tc>
              <w:tc>
                <w:tcPr>
                  <w:tcW w:w="952" w:type="pct"/>
                  <w:vAlign w:val="center"/>
                </w:tcPr>
                <w:p>
                  <w:pPr>
                    <w:jc w:val="center"/>
                    <w:rPr>
                      <w:szCs w:val="21"/>
                    </w:rPr>
                  </w:pPr>
                  <w:r>
                    <w:rPr>
                      <w:rFonts w:hint="eastAsia"/>
                      <w:szCs w:val="21"/>
                    </w:rPr>
                    <w:t>校准</w:t>
                  </w:r>
                </w:p>
              </w:tc>
            </w:tr>
          </w:tbl>
          <w:p>
            <w:pPr>
              <w:spacing w:beforeLines="50" w:afterLines="50" w:line="360" w:lineRule="auto"/>
              <w:rPr>
                <w:szCs w:val="21"/>
              </w:rPr>
            </w:pPr>
            <w:r>
              <w:rPr>
                <w:rFonts w:hint="eastAsia"/>
                <w:szCs w:val="21"/>
              </w:rPr>
              <w:t>8</w:t>
            </w:r>
            <w:r>
              <w:rPr>
                <w:szCs w:val="21"/>
              </w:rPr>
              <w:t>.</w:t>
            </w:r>
            <w:r>
              <w:rPr>
                <w:rFonts w:hint="eastAsia"/>
                <w:szCs w:val="21"/>
              </w:rPr>
              <w:t>3 噪声</w:t>
            </w:r>
            <w:r>
              <w:rPr>
                <w:szCs w:val="21"/>
              </w:rPr>
              <w:t>监测分析过程中的质量保证和质量控制</w:t>
            </w:r>
          </w:p>
          <w:p>
            <w:pPr>
              <w:spacing w:line="360" w:lineRule="auto"/>
              <w:ind w:firstLine="420" w:firstLineChars="200"/>
              <w:rPr>
                <w:szCs w:val="21"/>
              </w:rPr>
            </w:pPr>
            <w:r>
              <w:rPr>
                <w:szCs w:val="21"/>
              </w:rPr>
              <w:t>测量仪器和校准仪器定期检验合格，并在有效期内使用；每次测量前在测量现场进行声学校准</w:t>
            </w:r>
            <w:r>
              <w:rPr>
                <w:rFonts w:hint="eastAsia"/>
                <w:szCs w:val="21"/>
              </w:rPr>
              <w:t>，测量后进行校准验证</w:t>
            </w:r>
            <w:r>
              <w:rPr>
                <w:szCs w:val="21"/>
              </w:rPr>
              <w:t>，其前、后示值偏差小于0.5dB(A</w:t>
            </w:r>
            <w:r>
              <w:rPr>
                <w:rFonts w:hint="eastAsia"/>
                <w:szCs w:val="21"/>
              </w:rPr>
              <w:t>）</w:t>
            </w:r>
            <w:r>
              <w:rPr>
                <w:szCs w:val="21"/>
              </w:rPr>
              <w:t>测量结果有效。</w:t>
            </w:r>
          </w:p>
          <w:p>
            <w:pPr>
              <w:jc w:val="center"/>
              <w:rPr>
                <w:szCs w:val="21"/>
              </w:rPr>
            </w:pPr>
            <w:r>
              <w:rPr>
                <w:szCs w:val="21"/>
              </w:rPr>
              <w:t>表</w:t>
            </w:r>
            <w:r>
              <w:rPr>
                <w:rFonts w:hint="eastAsia"/>
                <w:szCs w:val="21"/>
              </w:rPr>
              <w:t>8</w:t>
            </w:r>
            <w:r>
              <w:rPr>
                <w:szCs w:val="21"/>
              </w:rPr>
              <w:t>.3  噪声校准表（单位：dB</w:t>
            </w:r>
            <w:r>
              <w:rPr>
                <w:rFonts w:hint="eastAsia"/>
                <w:szCs w:val="21"/>
              </w:rPr>
              <w:t>(</w:t>
            </w:r>
            <w:r>
              <w:rPr>
                <w:szCs w:val="21"/>
              </w:rPr>
              <w:t>A</w:t>
            </w:r>
            <w:r>
              <w:rPr>
                <w:rFonts w:hint="eastAsia"/>
                <w:szCs w:val="21"/>
              </w:rPr>
              <w:t>)</w:t>
            </w:r>
            <w:r>
              <w:rPr>
                <w:szCs w:val="21"/>
              </w:rPr>
              <w:t>）</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41"/>
              <w:gridCol w:w="1695"/>
              <w:gridCol w:w="1712"/>
              <w:gridCol w:w="962"/>
              <w:gridCol w:w="1922"/>
              <w:gridCol w:w="15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5" w:type="pct"/>
                  <w:vAlign w:val="center"/>
                </w:tcPr>
                <w:p>
                  <w:pPr>
                    <w:jc w:val="center"/>
                    <w:rPr>
                      <w:szCs w:val="21"/>
                    </w:rPr>
                  </w:pPr>
                  <w:r>
                    <w:rPr>
                      <w:rFonts w:hint="eastAsia"/>
                      <w:szCs w:val="21"/>
                    </w:rPr>
                    <w:t>校准日期</w:t>
                  </w:r>
                </w:p>
              </w:tc>
              <w:tc>
                <w:tcPr>
                  <w:tcW w:w="879" w:type="pct"/>
                  <w:vAlign w:val="center"/>
                </w:tcPr>
                <w:p>
                  <w:pPr>
                    <w:jc w:val="center"/>
                    <w:rPr>
                      <w:szCs w:val="21"/>
                    </w:rPr>
                  </w:pPr>
                  <w:r>
                    <w:rPr>
                      <w:rFonts w:hint="eastAsia"/>
                      <w:szCs w:val="21"/>
                    </w:rPr>
                    <w:t>使用前校准值</w:t>
                  </w:r>
                </w:p>
              </w:tc>
              <w:tc>
                <w:tcPr>
                  <w:tcW w:w="888" w:type="pct"/>
                  <w:vAlign w:val="center"/>
                </w:tcPr>
                <w:p>
                  <w:pPr>
                    <w:jc w:val="center"/>
                    <w:rPr>
                      <w:szCs w:val="21"/>
                    </w:rPr>
                  </w:pPr>
                  <w:r>
                    <w:rPr>
                      <w:rFonts w:hint="eastAsia"/>
                      <w:szCs w:val="21"/>
                    </w:rPr>
                    <w:t>使用后校准值</w:t>
                  </w:r>
                </w:p>
              </w:tc>
              <w:tc>
                <w:tcPr>
                  <w:tcW w:w="499" w:type="pct"/>
                  <w:vAlign w:val="center"/>
                </w:tcPr>
                <w:p>
                  <w:pPr>
                    <w:jc w:val="center"/>
                    <w:rPr>
                      <w:szCs w:val="21"/>
                    </w:rPr>
                  </w:pPr>
                  <w:r>
                    <w:rPr>
                      <w:rFonts w:hint="eastAsia"/>
                      <w:szCs w:val="21"/>
                    </w:rPr>
                    <w:t>偏差</w:t>
                  </w:r>
                </w:p>
              </w:tc>
              <w:tc>
                <w:tcPr>
                  <w:tcW w:w="997" w:type="pct"/>
                  <w:vAlign w:val="center"/>
                </w:tcPr>
                <w:p>
                  <w:pPr>
                    <w:jc w:val="center"/>
                    <w:rPr>
                      <w:szCs w:val="21"/>
                    </w:rPr>
                  </w:pPr>
                  <w:r>
                    <w:rPr>
                      <w:rFonts w:hint="eastAsia"/>
                      <w:szCs w:val="21"/>
                    </w:rPr>
                    <w:t>最大允许偏差值</w:t>
                  </w:r>
                </w:p>
              </w:tc>
              <w:tc>
                <w:tcPr>
                  <w:tcW w:w="781" w:type="pct"/>
                  <w:vAlign w:val="center"/>
                </w:tcPr>
                <w:p>
                  <w:pPr>
                    <w:jc w:val="center"/>
                    <w:rPr>
                      <w:szCs w:val="21"/>
                    </w:rPr>
                  </w:pPr>
                  <w:r>
                    <w:rPr>
                      <w:rFonts w:hint="eastAsia"/>
                      <w:szCs w:val="21"/>
                    </w:rPr>
                    <w:t>校准结果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5" w:type="pct"/>
                  <w:vAlign w:val="center"/>
                </w:tcPr>
                <w:p>
                  <w:pPr>
                    <w:jc w:val="center"/>
                    <w:rPr>
                      <w:szCs w:val="21"/>
                    </w:rPr>
                  </w:pPr>
                  <w:r>
                    <w:rPr>
                      <w:rFonts w:hint="eastAsia"/>
                      <w:szCs w:val="21"/>
                    </w:rPr>
                    <w:t>2021年</w:t>
                  </w:r>
                </w:p>
                <w:p>
                  <w:pPr>
                    <w:jc w:val="center"/>
                    <w:rPr>
                      <w:szCs w:val="21"/>
                    </w:rPr>
                  </w:pPr>
                  <w:r>
                    <w:rPr>
                      <w:rFonts w:hint="eastAsia"/>
                      <w:szCs w:val="21"/>
                    </w:rPr>
                    <w:t>12月23日</w:t>
                  </w:r>
                </w:p>
              </w:tc>
              <w:tc>
                <w:tcPr>
                  <w:tcW w:w="879" w:type="pct"/>
                  <w:vAlign w:val="center"/>
                </w:tcPr>
                <w:p>
                  <w:pPr>
                    <w:jc w:val="center"/>
                    <w:rPr>
                      <w:szCs w:val="21"/>
                    </w:rPr>
                  </w:pPr>
                  <w:r>
                    <w:rPr>
                      <w:rFonts w:hint="eastAsia"/>
                      <w:szCs w:val="21"/>
                    </w:rPr>
                    <w:t>93.8</w:t>
                  </w:r>
                </w:p>
              </w:tc>
              <w:tc>
                <w:tcPr>
                  <w:tcW w:w="888" w:type="pct"/>
                  <w:vAlign w:val="center"/>
                </w:tcPr>
                <w:p>
                  <w:pPr>
                    <w:jc w:val="center"/>
                    <w:rPr>
                      <w:szCs w:val="21"/>
                    </w:rPr>
                  </w:pPr>
                  <w:r>
                    <w:rPr>
                      <w:rFonts w:hint="eastAsia"/>
                      <w:szCs w:val="21"/>
                    </w:rPr>
                    <w:t>93.8</w:t>
                  </w:r>
                </w:p>
              </w:tc>
              <w:tc>
                <w:tcPr>
                  <w:tcW w:w="499" w:type="pct"/>
                  <w:vAlign w:val="center"/>
                </w:tcPr>
                <w:p>
                  <w:pPr>
                    <w:jc w:val="center"/>
                    <w:rPr>
                      <w:szCs w:val="21"/>
                    </w:rPr>
                  </w:pPr>
                  <w:r>
                    <w:rPr>
                      <w:rFonts w:hint="eastAsia"/>
                      <w:szCs w:val="21"/>
                    </w:rPr>
                    <w:t>0</w:t>
                  </w:r>
                </w:p>
              </w:tc>
              <w:tc>
                <w:tcPr>
                  <w:tcW w:w="997" w:type="pct"/>
                  <w:vAlign w:val="center"/>
                </w:tcPr>
                <w:p>
                  <w:pPr>
                    <w:jc w:val="center"/>
                    <w:rPr>
                      <w:szCs w:val="21"/>
                    </w:rPr>
                  </w:pPr>
                  <w:r>
                    <w:rPr>
                      <w:rFonts w:hint="eastAsia"/>
                      <w:szCs w:val="21"/>
                    </w:rPr>
                    <w:t>0.5</w:t>
                  </w:r>
                </w:p>
              </w:tc>
              <w:tc>
                <w:tcPr>
                  <w:tcW w:w="781" w:type="pct"/>
                  <w:vAlign w:val="center"/>
                </w:tcPr>
                <w:p>
                  <w:pPr>
                    <w:jc w:val="center"/>
                    <w:rPr>
                      <w:szCs w:val="21"/>
                    </w:rPr>
                  </w:pPr>
                  <w:r>
                    <w:rPr>
                      <w:rFonts w:hint="eastAsia"/>
                      <w:szCs w:val="21"/>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5" w:type="pct"/>
                  <w:vAlign w:val="center"/>
                </w:tcPr>
                <w:p>
                  <w:pPr>
                    <w:jc w:val="center"/>
                    <w:rPr>
                      <w:szCs w:val="21"/>
                    </w:rPr>
                  </w:pPr>
                  <w:r>
                    <w:rPr>
                      <w:rFonts w:hint="eastAsia"/>
                      <w:szCs w:val="21"/>
                    </w:rPr>
                    <w:t>2021年</w:t>
                  </w:r>
                </w:p>
                <w:p>
                  <w:pPr>
                    <w:jc w:val="center"/>
                    <w:rPr>
                      <w:szCs w:val="21"/>
                    </w:rPr>
                  </w:pPr>
                  <w:r>
                    <w:rPr>
                      <w:rFonts w:hint="eastAsia"/>
                      <w:szCs w:val="21"/>
                    </w:rPr>
                    <w:t>12月24日</w:t>
                  </w:r>
                </w:p>
              </w:tc>
              <w:tc>
                <w:tcPr>
                  <w:tcW w:w="879" w:type="pct"/>
                  <w:vAlign w:val="center"/>
                </w:tcPr>
                <w:p>
                  <w:pPr>
                    <w:jc w:val="center"/>
                    <w:rPr>
                      <w:szCs w:val="21"/>
                    </w:rPr>
                  </w:pPr>
                  <w:r>
                    <w:rPr>
                      <w:rFonts w:hint="eastAsia"/>
                      <w:szCs w:val="21"/>
                    </w:rPr>
                    <w:t>93.8</w:t>
                  </w:r>
                </w:p>
              </w:tc>
              <w:tc>
                <w:tcPr>
                  <w:tcW w:w="888" w:type="pct"/>
                  <w:vAlign w:val="center"/>
                </w:tcPr>
                <w:p>
                  <w:pPr>
                    <w:jc w:val="center"/>
                    <w:rPr>
                      <w:szCs w:val="21"/>
                    </w:rPr>
                  </w:pPr>
                  <w:r>
                    <w:rPr>
                      <w:rFonts w:hint="eastAsia"/>
                      <w:szCs w:val="21"/>
                    </w:rPr>
                    <w:t>93.8</w:t>
                  </w:r>
                </w:p>
              </w:tc>
              <w:tc>
                <w:tcPr>
                  <w:tcW w:w="499" w:type="pct"/>
                  <w:vAlign w:val="center"/>
                </w:tcPr>
                <w:p>
                  <w:pPr>
                    <w:jc w:val="center"/>
                    <w:rPr>
                      <w:szCs w:val="21"/>
                    </w:rPr>
                  </w:pPr>
                  <w:r>
                    <w:rPr>
                      <w:rFonts w:hint="eastAsia"/>
                      <w:szCs w:val="21"/>
                    </w:rPr>
                    <w:t>0</w:t>
                  </w:r>
                </w:p>
              </w:tc>
              <w:tc>
                <w:tcPr>
                  <w:tcW w:w="997" w:type="pct"/>
                  <w:vAlign w:val="center"/>
                </w:tcPr>
                <w:p>
                  <w:pPr>
                    <w:jc w:val="center"/>
                    <w:rPr>
                      <w:szCs w:val="21"/>
                    </w:rPr>
                  </w:pPr>
                  <w:r>
                    <w:rPr>
                      <w:rFonts w:hint="eastAsia"/>
                      <w:szCs w:val="21"/>
                    </w:rPr>
                    <w:t>0.5</w:t>
                  </w:r>
                </w:p>
              </w:tc>
              <w:tc>
                <w:tcPr>
                  <w:tcW w:w="781" w:type="pct"/>
                  <w:vAlign w:val="center"/>
                </w:tcPr>
                <w:p>
                  <w:pPr>
                    <w:jc w:val="center"/>
                    <w:rPr>
                      <w:szCs w:val="21"/>
                    </w:rPr>
                  </w:pPr>
                  <w:r>
                    <w:rPr>
                      <w:rFonts w:hint="eastAsia"/>
                      <w:szCs w:val="21"/>
                    </w:rPr>
                    <w:t>合格</w:t>
                  </w:r>
                </w:p>
              </w:tc>
            </w:tr>
          </w:tbl>
          <w:p>
            <w:pPr>
              <w:jc w:val="center"/>
              <w:rPr>
                <w:szCs w:val="21"/>
              </w:rPr>
            </w:pPr>
          </w:p>
          <w:p>
            <w:pPr>
              <w:spacing w:line="360" w:lineRule="auto"/>
              <w:rPr>
                <w:szCs w:val="21"/>
              </w:rPr>
            </w:pPr>
            <w:r>
              <w:rPr>
                <w:rFonts w:hint="eastAsia"/>
                <w:szCs w:val="21"/>
              </w:rPr>
              <w:t>8.4 工频电磁场</w:t>
            </w:r>
            <w:r>
              <w:rPr>
                <w:szCs w:val="21"/>
              </w:rPr>
              <w:t>监测内容</w:t>
            </w:r>
          </w:p>
          <w:p>
            <w:pPr>
              <w:spacing w:line="360" w:lineRule="auto"/>
              <w:ind w:firstLine="420" w:firstLineChars="200"/>
              <w:jc w:val="left"/>
              <w:rPr>
                <w:szCs w:val="21"/>
              </w:rPr>
            </w:pPr>
            <w:r>
              <w:rPr>
                <w:rFonts w:hint="eastAsia"/>
                <w:szCs w:val="21"/>
              </w:rPr>
              <w:t>本项目升压站运行过程中产生工频电场和工频磁场。</w:t>
            </w:r>
          </w:p>
          <w:p>
            <w:pPr>
              <w:jc w:val="center"/>
              <w:rPr>
                <w:szCs w:val="21"/>
              </w:rPr>
            </w:pPr>
            <w:r>
              <w:rPr>
                <w:szCs w:val="21"/>
              </w:rPr>
              <w:t>表</w:t>
            </w:r>
            <w:r>
              <w:rPr>
                <w:rFonts w:hint="eastAsia"/>
                <w:szCs w:val="21"/>
              </w:rPr>
              <w:t>8.4工频电磁场</w:t>
            </w:r>
            <w:r>
              <w:rPr>
                <w:szCs w:val="21"/>
              </w:rPr>
              <w:t>监测内容表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209"/>
              <w:gridCol w:w="1132"/>
              <w:gridCol w:w="2971"/>
              <w:gridCol w:w="2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4" w:type="pct"/>
                  <w:vAlign w:val="center"/>
                </w:tcPr>
                <w:p>
                  <w:pPr>
                    <w:jc w:val="center"/>
                    <w:rPr>
                      <w:szCs w:val="21"/>
                    </w:rPr>
                  </w:pPr>
                  <w:r>
                    <w:rPr>
                      <w:szCs w:val="21"/>
                    </w:rPr>
                    <w:t>类别</w:t>
                  </w:r>
                </w:p>
              </w:tc>
              <w:tc>
                <w:tcPr>
                  <w:tcW w:w="1146" w:type="pct"/>
                  <w:vAlign w:val="center"/>
                </w:tcPr>
                <w:p>
                  <w:pPr>
                    <w:jc w:val="center"/>
                    <w:rPr>
                      <w:szCs w:val="21"/>
                    </w:rPr>
                  </w:pPr>
                  <w:r>
                    <w:rPr>
                      <w:szCs w:val="21"/>
                    </w:rPr>
                    <w:t>监测点位</w:t>
                  </w:r>
                </w:p>
              </w:tc>
              <w:tc>
                <w:tcPr>
                  <w:tcW w:w="587" w:type="pct"/>
                  <w:vAlign w:val="center"/>
                </w:tcPr>
                <w:p>
                  <w:pPr>
                    <w:jc w:val="center"/>
                    <w:rPr>
                      <w:szCs w:val="21"/>
                    </w:rPr>
                  </w:pPr>
                  <w:r>
                    <w:rPr>
                      <w:szCs w:val="21"/>
                    </w:rPr>
                    <w:t>监测编号</w:t>
                  </w:r>
                </w:p>
              </w:tc>
              <w:tc>
                <w:tcPr>
                  <w:tcW w:w="1541" w:type="pct"/>
                  <w:vAlign w:val="center"/>
                </w:tcPr>
                <w:p>
                  <w:pPr>
                    <w:jc w:val="center"/>
                    <w:rPr>
                      <w:szCs w:val="21"/>
                    </w:rPr>
                  </w:pPr>
                  <w:r>
                    <w:rPr>
                      <w:szCs w:val="21"/>
                    </w:rPr>
                    <w:t>监测项目</w:t>
                  </w:r>
                </w:p>
              </w:tc>
              <w:tc>
                <w:tcPr>
                  <w:tcW w:w="1101" w:type="pct"/>
                  <w:vAlign w:val="center"/>
                </w:tcPr>
                <w:p>
                  <w:pPr>
                    <w:jc w:val="center"/>
                    <w:rPr>
                      <w:szCs w:val="21"/>
                    </w:rPr>
                  </w:pPr>
                  <w:r>
                    <w:rPr>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24" w:type="pct"/>
                  <w:vAlign w:val="center"/>
                </w:tcPr>
                <w:p>
                  <w:pPr>
                    <w:jc w:val="center"/>
                    <w:rPr>
                      <w:szCs w:val="21"/>
                    </w:rPr>
                  </w:pPr>
                  <w:r>
                    <w:rPr>
                      <w:rFonts w:hint="eastAsia"/>
                      <w:szCs w:val="21"/>
                    </w:rPr>
                    <w:t>工频电磁场</w:t>
                  </w:r>
                </w:p>
              </w:tc>
              <w:tc>
                <w:tcPr>
                  <w:tcW w:w="1146" w:type="pct"/>
                  <w:vAlign w:val="center"/>
                </w:tcPr>
                <w:p>
                  <w:pPr>
                    <w:jc w:val="center"/>
                    <w:rPr>
                      <w:szCs w:val="21"/>
                    </w:rPr>
                  </w:pPr>
                  <w:r>
                    <w:rPr>
                      <w:rFonts w:hint="eastAsia"/>
                      <w:szCs w:val="21"/>
                    </w:rPr>
                    <w:t>厂界四周</w:t>
                  </w:r>
                </w:p>
              </w:tc>
              <w:tc>
                <w:tcPr>
                  <w:tcW w:w="587" w:type="pct"/>
                  <w:vAlign w:val="center"/>
                </w:tcPr>
                <w:p>
                  <w:pPr>
                    <w:jc w:val="center"/>
                    <w:rPr>
                      <w:szCs w:val="21"/>
                    </w:rPr>
                  </w:pPr>
                  <w:r>
                    <w:rPr>
                      <w:rFonts w:hint="eastAsia"/>
                      <w:szCs w:val="21"/>
                    </w:rPr>
                    <w:t>东南西北</w:t>
                  </w:r>
                </w:p>
              </w:tc>
              <w:tc>
                <w:tcPr>
                  <w:tcW w:w="1541" w:type="pct"/>
                  <w:vAlign w:val="center"/>
                </w:tcPr>
                <w:p>
                  <w:pPr>
                    <w:jc w:val="center"/>
                    <w:rPr>
                      <w:szCs w:val="21"/>
                    </w:rPr>
                  </w:pPr>
                  <w:r>
                    <w:rPr>
                      <w:rFonts w:hint="eastAsia"/>
                      <w:szCs w:val="21"/>
                    </w:rPr>
                    <w:t>工频电场、工频磁场</w:t>
                  </w:r>
                </w:p>
              </w:tc>
              <w:tc>
                <w:tcPr>
                  <w:tcW w:w="1101" w:type="pct"/>
                  <w:vAlign w:val="center"/>
                </w:tcPr>
                <w:p>
                  <w:pPr>
                    <w:jc w:val="center"/>
                    <w:rPr>
                      <w:szCs w:val="21"/>
                    </w:rPr>
                  </w:pPr>
                  <w:r>
                    <w:rPr>
                      <w:szCs w:val="21"/>
                    </w:rPr>
                    <w:t>连续监测2天，每天监测</w:t>
                  </w:r>
                  <w:r>
                    <w:rPr>
                      <w:rFonts w:hint="eastAsia"/>
                      <w:szCs w:val="21"/>
                    </w:rPr>
                    <w:t>1</w:t>
                  </w:r>
                  <w:r>
                    <w:rPr>
                      <w:szCs w:val="21"/>
                    </w:rPr>
                    <w:t>次</w:t>
                  </w:r>
                </w:p>
              </w:tc>
            </w:tr>
          </w:tbl>
          <w:p>
            <w:pPr>
              <w:jc w:val="center"/>
              <w:rPr>
                <w:szCs w:val="21"/>
              </w:rPr>
            </w:pPr>
          </w:p>
          <w:p>
            <w:pPr>
              <w:spacing w:line="360" w:lineRule="auto"/>
              <w:rPr>
                <w:szCs w:val="21"/>
              </w:rPr>
            </w:pPr>
            <w:r>
              <w:rPr>
                <w:rFonts w:hint="eastAsia"/>
                <w:szCs w:val="21"/>
              </w:rPr>
              <w:t>8.5 噪声</w:t>
            </w:r>
            <w:r>
              <w:rPr>
                <w:szCs w:val="21"/>
              </w:rPr>
              <w:t>监测内容</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r>
              <w:rPr>
                <w:szCs w:val="21"/>
              </w:rPr>
              <w:t>表</w:t>
            </w:r>
            <w:r>
              <w:rPr>
                <w:rFonts w:hint="eastAsia"/>
                <w:szCs w:val="21"/>
              </w:rPr>
              <w:t>8.5</w:t>
            </w:r>
            <w:r>
              <w:rPr>
                <w:szCs w:val="21"/>
              </w:rPr>
              <w:t>厂界噪声</w:t>
            </w:r>
            <w:r>
              <w:rPr>
                <w:rFonts w:hint="eastAsia"/>
                <w:szCs w:val="21"/>
              </w:rPr>
              <w:t>监测</w:t>
            </w:r>
            <w:r>
              <w:rPr>
                <w:szCs w:val="21"/>
              </w:rPr>
              <w:t>内容及频次</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1126"/>
              <w:gridCol w:w="1787"/>
              <w:gridCol w:w="2510"/>
              <w:gridCol w:w="27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58" w:type="pct"/>
                  <w:shd w:val="clear" w:color="auto" w:fill="auto"/>
                  <w:vAlign w:val="center"/>
                </w:tcPr>
                <w:p>
                  <w:pPr>
                    <w:jc w:val="center"/>
                    <w:rPr>
                      <w:szCs w:val="21"/>
                    </w:rPr>
                  </w:pPr>
                  <w:r>
                    <w:rPr>
                      <w:rFonts w:hint="eastAsia"/>
                      <w:szCs w:val="21"/>
                    </w:rPr>
                    <w:t>监测点位</w:t>
                  </w:r>
                </w:p>
              </w:tc>
              <w:tc>
                <w:tcPr>
                  <w:tcW w:w="584" w:type="pct"/>
                  <w:shd w:val="clear" w:color="auto" w:fill="auto"/>
                  <w:vAlign w:val="center"/>
                </w:tcPr>
                <w:p>
                  <w:pPr>
                    <w:jc w:val="center"/>
                    <w:rPr>
                      <w:szCs w:val="21"/>
                    </w:rPr>
                  </w:pPr>
                  <w:r>
                    <w:rPr>
                      <w:rFonts w:hint="eastAsia"/>
                      <w:szCs w:val="21"/>
                    </w:rPr>
                    <w:t>监测编号</w:t>
                  </w:r>
                </w:p>
              </w:tc>
              <w:tc>
                <w:tcPr>
                  <w:tcW w:w="927" w:type="pct"/>
                  <w:shd w:val="clear" w:color="auto" w:fill="auto"/>
                  <w:vAlign w:val="center"/>
                </w:tcPr>
                <w:p>
                  <w:pPr>
                    <w:jc w:val="center"/>
                    <w:rPr>
                      <w:szCs w:val="21"/>
                    </w:rPr>
                  </w:pPr>
                  <w:r>
                    <w:rPr>
                      <w:rFonts w:hint="eastAsia"/>
                      <w:szCs w:val="21"/>
                    </w:rPr>
                    <w:t>监测因子</w:t>
                  </w:r>
                </w:p>
              </w:tc>
              <w:tc>
                <w:tcPr>
                  <w:tcW w:w="1302" w:type="pct"/>
                  <w:shd w:val="clear" w:color="auto" w:fill="auto"/>
                  <w:vAlign w:val="center"/>
                </w:tcPr>
                <w:p>
                  <w:pPr>
                    <w:jc w:val="center"/>
                    <w:rPr>
                      <w:szCs w:val="21"/>
                    </w:rPr>
                  </w:pPr>
                  <w:r>
                    <w:rPr>
                      <w:rFonts w:hint="eastAsia"/>
                      <w:szCs w:val="21"/>
                    </w:rPr>
                    <w:t>监测频次</w:t>
                  </w:r>
                </w:p>
              </w:tc>
              <w:tc>
                <w:tcPr>
                  <w:tcW w:w="1428" w:type="pct"/>
                  <w:vAlign w:val="center"/>
                </w:tcPr>
                <w:p>
                  <w:pPr>
                    <w:jc w:val="center"/>
                    <w:rPr>
                      <w:szCs w:val="21"/>
                    </w:rPr>
                  </w:pPr>
                  <w:r>
                    <w:rPr>
                      <w:szCs w:val="21"/>
                    </w:rPr>
                    <w:t>监测方法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58" w:type="pct"/>
                  <w:shd w:val="clear" w:color="auto" w:fill="auto"/>
                  <w:vAlign w:val="center"/>
                </w:tcPr>
                <w:p>
                  <w:pPr>
                    <w:jc w:val="center"/>
                    <w:rPr>
                      <w:szCs w:val="21"/>
                    </w:rPr>
                  </w:pPr>
                  <w:r>
                    <w:rPr>
                      <w:rFonts w:hint="eastAsia"/>
                      <w:szCs w:val="21"/>
                    </w:rPr>
                    <w:t>东、南、西、北厂界</w:t>
                  </w:r>
                </w:p>
              </w:tc>
              <w:tc>
                <w:tcPr>
                  <w:tcW w:w="584" w:type="pct"/>
                  <w:shd w:val="clear" w:color="auto" w:fill="auto"/>
                  <w:vAlign w:val="center"/>
                </w:tcPr>
                <w:p>
                  <w:pPr>
                    <w:jc w:val="center"/>
                    <w:rPr>
                      <w:szCs w:val="21"/>
                    </w:rPr>
                  </w:pPr>
                  <w:r>
                    <w:rPr>
                      <w:rFonts w:hint="eastAsia"/>
                      <w:szCs w:val="21"/>
                    </w:rPr>
                    <w:t>N1~N</w:t>
                  </w:r>
                  <w:r>
                    <w:rPr>
                      <w:szCs w:val="21"/>
                    </w:rPr>
                    <w:t>4</w:t>
                  </w:r>
                </w:p>
              </w:tc>
              <w:tc>
                <w:tcPr>
                  <w:tcW w:w="927" w:type="pct"/>
                  <w:shd w:val="clear" w:color="auto" w:fill="auto"/>
                  <w:vAlign w:val="center"/>
                </w:tcPr>
                <w:p>
                  <w:pPr>
                    <w:jc w:val="center"/>
                    <w:rPr>
                      <w:szCs w:val="21"/>
                    </w:rPr>
                  </w:pPr>
                  <w:r>
                    <w:rPr>
                      <w:rFonts w:hint="eastAsia"/>
                      <w:szCs w:val="21"/>
                    </w:rPr>
                    <w:t>等效A声级（Leq）</w:t>
                  </w:r>
                </w:p>
              </w:tc>
              <w:tc>
                <w:tcPr>
                  <w:tcW w:w="1302" w:type="pct"/>
                  <w:shd w:val="clear" w:color="auto" w:fill="auto"/>
                  <w:vAlign w:val="center"/>
                </w:tcPr>
                <w:p>
                  <w:pPr>
                    <w:jc w:val="center"/>
                    <w:rPr>
                      <w:szCs w:val="21"/>
                    </w:rPr>
                  </w:pPr>
                  <w:r>
                    <w:rPr>
                      <w:rFonts w:hint="eastAsia"/>
                      <w:szCs w:val="21"/>
                    </w:rPr>
                    <w:t>监测2天，每天昼间监测1次。</w:t>
                  </w:r>
                </w:p>
              </w:tc>
              <w:tc>
                <w:tcPr>
                  <w:tcW w:w="1428" w:type="pct"/>
                  <w:shd w:val="clear" w:color="auto" w:fill="auto"/>
                  <w:vAlign w:val="center"/>
                </w:tcPr>
                <w:p>
                  <w:pPr>
                    <w:jc w:val="center"/>
                    <w:rPr>
                      <w:szCs w:val="21"/>
                    </w:rPr>
                  </w:pPr>
                  <w:r>
                    <w:rPr>
                      <w:szCs w:val="21"/>
                    </w:rPr>
                    <w:t>《工业企业厂界环境噪声排放标准》（GB12348-2008）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58" w:type="pct"/>
                  <w:shd w:val="clear" w:color="auto" w:fill="auto"/>
                  <w:vAlign w:val="center"/>
                </w:tcPr>
                <w:p>
                  <w:pPr>
                    <w:jc w:val="center"/>
                    <w:rPr>
                      <w:szCs w:val="21"/>
                    </w:rPr>
                  </w:pPr>
                  <w:r>
                    <w:rPr>
                      <w:rFonts w:hint="eastAsia"/>
                      <w:szCs w:val="21"/>
                    </w:rPr>
                    <w:t>备注</w:t>
                  </w:r>
                </w:p>
              </w:tc>
              <w:tc>
                <w:tcPr>
                  <w:tcW w:w="4242" w:type="pct"/>
                  <w:gridSpan w:val="4"/>
                  <w:shd w:val="clear" w:color="auto" w:fill="auto"/>
                  <w:vAlign w:val="center"/>
                </w:tcPr>
                <w:p>
                  <w:pPr>
                    <w:jc w:val="center"/>
                    <w:rPr>
                      <w:szCs w:val="21"/>
                    </w:rPr>
                  </w:pPr>
                  <w:r>
                    <w:rPr>
                      <w:rFonts w:hint="eastAsia"/>
                      <w:szCs w:val="21"/>
                    </w:rPr>
                    <w:t>北厂界靠近G2515，执</w:t>
                  </w:r>
                  <w:r>
                    <w:rPr>
                      <w:rFonts w:hint="eastAsia"/>
                      <w:color w:val="auto"/>
                      <w:szCs w:val="21"/>
                    </w:rPr>
                    <w:t>行（GB12348-2008）4a类标准</w:t>
                  </w:r>
                </w:p>
              </w:tc>
            </w:tr>
          </w:tbl>
          <w:p>
            <w:pPr>
              <w:spacing w:line="360" w:lineRule="auto"/>
              <w:ind w:firstLine="420" w:firstLineChars="200"/>
              <w:rPr>
                <w:szCs w:val="21"/>
              </w:rPr>
            </w:pPr>
            <w:r>
              <w:rPr>
                <w:rFonts w:hint="eastAsia"/>
                <w:szCs w:val="21"/>
              </w:rPr>
              <w:t>本项目噪声具体布设情况见下图8.1。</w:t>
            </w:r>
          </w:p>
          <w:p>
            <w:pPr>
              <w:spacing w:line="360" w:lineRule="auto"/>
              <w:ind w:firstLine="420" w:firstLineChars="200"/>
              <w:rPr>
                <w:szCs w:val="21"/>
              </w:rPr>
            </w:pPr>
            <w:r>
              <w:rPr>
                <w:szCs w:val="21"/>
              </w:rPr>
              <w:drawing>
                <wp:anchor distT="0" distB="0" distL="114300" distR="114300" simplePos="0" relativeHeight="251660288" behindDoc="0" locked="0" layoutInCell="1" allowOverlap="1">
                  <wp:simplePos x="0" y="0"/>
                  <wp:positionH relativeFrom="column">
                    <wp:posOffset>1129030</wp:posOffset>
                  </wp:positionH>
                  <wp:positionV relativeFrom="paragraph">
                    <wp:posOffset>133985</wp:posOffset>
                  </wp:positionV>
                  <wp:extent cx="3981450" cy="3286125"/>
                  <wp:effectExtent l="0" t="0" r="0" b="9525"/>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0" cstate="print"/>
                          <a:stretch>
                            <a:fillRect/>
                          </a:stretch>
                        </pic:blipFill>
                        <pic:spPr>
                          <a:xfrm>
                            <a:off x="0" y="0"/>
                            <a:ext cx="3981450" cy="3286125"/>
                          </a:xfrm>
                          <a:prstGeom prst="rect">
                            <a:avLst/>
                          </a:prstGeom>
                          <a:noFill/>
                          <a:ln>
                            <a:noFill/>
                          </a:ln>
                        </pic:spPr>
                      </pic:pic>
                    </a:graphicData>
                  </a:graphic>
                </wp:anchor>
              </w:drawing>
            </w:r>
          </w:p>
          <w:p>
            <w:pPr>
              <w:pStyle w:val="6"/>
              <w:ind w:firstLine="420" w:firstLineChars="200"/>
              <w:jc w:val="center"/>
              <w:rPr>
                <w:b w:val="0"/>
                <w:bCs w:val="0"/>
                <w:sz w:val="21"/>
                <w:szCs w:val="21"/>
              </w:rPr>
            </w:pPr>
          </w:p>
          <w:p>
            <w:pPr>
              <w:pStyle w:val="6"/>
              <w:ind w:firstLine="420" w:firstLineChars="200"/>
              <w:jc w:val="center"/>
              <w:rPr>
                <w:b w:val="0"/>
                <w:bCs w:val="0"/>
                <w:sz w:val="21"/>
                <w:szCs w:val="21"/>
              </w:rPr>
            </w:pPr>
          </w:p>
          <w:p>
            <w:pPr>
              <w:pStyle w:val="6"/>
              <w:ind w:firstLine="420" w:firstLineChars="200"/>
              <w:jc w:val="center"/>
              <w:rPr>
                <w:b w:val="0"/>
                <w:bCs w:val="0"/>
                <w:sz w:val="21"/>
                <w:szCs w:val="21"/>
              </w:rPr>
            </w:pPr>
          </w:p>
          <w:p>
            <w:pPr>
              <w:pStyle w:val="6"/>
              <w:ind w:firstLine="420" w:firstLineChars="200"/>
              <w:jc w:val="center"/>
              <w:rPr>
                <w:b w:val="0"/>
                <w:bCs w:val="0"/>
                <w:sz w:val="21"/>
                <w:szCs w:val="21"/>
              </w:rPr>
            </w:pPr>
          </w:p>
          <w:p>
            <w:pPr>
              <w:pStyle w:val="6"/>
              <w:ind w:firstLine="420" w:firstLineChars="200"/>
              <w:jc w:val="center"/>
              <w:rPr>
                <w:b w:val="0"/>
                <w:bCs w:val="0"/>
                <w:sz w:val="21"/>
                <w:szCs w:val="21"/>
              </w:rPr>
            </w:pPr>
          </w:p>
          <w:p>
            <w:pPr>
              <w:pStyle w:val="6"/>
              <w:ind w:firstLine="420" w:firstLineChars="200"/>
              <w:jc w:val="center"/>
              <w:rPr>
                <w:b w:val="0"/>
                <w:bCs w:val="0"/>
                <w:sz w:val="21"/>
                <w:szCs w:val="21"/>
              </w:rPr>
            </w:pPr>
          </w:p>
          <w:p>
            <w:pPr>
              <w:pStyle w:val="6"/>
              <w:ind w:firstLine="420" w:firstLineChars="200"/>
              <w:jc w:val="center"/>
              <w:rPr>
                <w:b w:val="0"/>
                <w:bCs w:val="0"/>
                <w:sz w:val="21"/>
                <w:szCs w:val="21"/>
              </w:rPr>
            </w:pPr>
          </w:p>
          <w:p>
            <w:pPr>
              <w:pStyle w:val="6"/>
              <w:ind w:firstLine="420" w:firstLineChars="200"/>
              <w:jc w:val="center"/>
              <w:rPr>
                <w:sz w:val="21"/>
                <w:szCs w:val="21"/>
              </w:rPr>
            </w:pPr>
            <w:r>
              <w:rPr>
                <w:rFonts w:hint="eastAsia"/>
                <w:b w:val="0"/>
                <w:bCs w:val="0"/>
                <w:sz w:val="21"/>
                <w:szCs w:val="21"/>
              </w:rPr>
              <w:t>图8.1 噪声监测</w:t>
            </w:r>
          </w:p>
          <w:p>
            <w:pPr>
              <w:spacing w:line="360" w:lineRule="auto"/>
              <w:rPr>
                <w:szCs w:val="21"/>
              </w:rPr>
            </w:pPr>
            <w:r>
              <w:rPr>
                <w:rFonts w:hint="eastAsia"/>
                <w:szCs w:val="21"/>
              </w:rPr>
              <w:t xml:space="preserve">8.6 </w:t>
            </w:r>
            <w:r>
              <w:rPr>
                <w:szCs w:val="21"/>
              </w:rPr>
              <w:t>验收监测期间生产工况</w:t>
            </w:r>
          </w:p>
          <w:p>
            <w:pPr>
              <w:spacing w:line="416" w:lineRule="auto"/>
              <w:ind w:firstLine="420" w:firstLineChars="200"/>
              <w:rPr>
                <w:szCs w:val="21"/>
              </w:rPr>
            </w:pPr>
            <w:r>
              <w:rPr>
                <w:rFonts w:hint="eastAsia"/>
                <w:szCs w:val="21"/>
              </w:rPr>
              <w:t>2021年12月23日－26日验收期间，项目正常运行，符合验收监测工况要求。</w:t>
            </w:r>
          </w:p>
          <w:p>
            <w:pPr>
              <w:spacing w:line="360" w:lineRule="auto"/>
              <w:rPr>
                <w:szCs w:val="21"/>
              </w:rPr>
            </w:pPr>
            <w:r>
              <w:rPr>
                <w:rFonts w:hint="eastAsia"/>
                <w:szCs w:val="21"/>
              </w:rPr>
              <w:t xml:space="preserve">8.7 </w:t>
            </w:r>
            <w:r>
              <w:rPr>
                <w:szCs w:val="21"/>
              </w:rPr>
              <w:t>验收监测</w:t>
            </w:r>
            <w:r>
              <w:rPr>
                <w:rFonts w:hint="eastAsia"/>
                <w:szCs w:val="21"/>
              </w:rPr>
              <w:t>结果</w:t>
            </w:r>
          </w:p>
          <w:p>
            <w:pPr>
              <w:spacing w:line="360" w:lineRule="auto"/>
              <w:jc w:val="left"/>
              <w:rPr>
                <w:szCs w:val="21"/>
              </w:rPr>
            </w:pPr>
            <w:r>
              <w:rPr>
                <w:rFonts w:hint="eastAsia"/>
                <w:szCs w:val="21"/>
              </w:rPr>
              <w:t>8.7.1 工频电磁场监测结果</w:t>
            </w:r>
          </w:p>
          <w:p>
            <w:pPr>
              <w:jc w:val="center"/>
              <w:rPr>
                <w:szCs w:val="21"/>
              </w:rPr>
            </w:pPr>
            <w:r>
              <w:rPr>
                <w:szCs w:val="21"/>
              </w:rPr>
              <w:t>表</w:t>
            </w:r>
            <w:r>
              <w:rPr>
                <w:rFonts w:hint="eastAsia"/>
                <w:szCs w:val="21"/>
              </w:rPr>
              <w:t>8.6 工频电磁场</w:t>
            </w:r>
            <w:r>
              <w:rPr>
                <w:szCs w:val="21"/>
              </w:rPr>
              <w:t>监测结果表</w:t>
            </w:r>
          </w:p>
          <w:tbl>
            <w:tblPr>
              <w:tblStyle w:val="34"/>
              <w:tblW w:w="11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965"/>
              <w:gridCol w:w="1434"/>
              <w:gridCol w:w="1604"/>
              <w:gridCol w:w="1606"/>
              <w:gridCol w:w="1606"/>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Pr>
              <w:tc>
                <w:tcPr>
                  <w:tcW w:w="1413" w:type="dxa"/>
                  <w:vAlign w:val="center"/>
                </w:tcPr>
                <w:p>
                  <w:pPr>
                    <w:pStyle w:val="6"/>
                    <w:spacing w:line="240" w:lineRule="auto"/>
                    <w:jc w:val="center"/>
                    <w:outlineLvl w:val="2"/>
                    <w:rPr>
                      <w:b w:val="0"/>
                      <w:bCs w:val="0"/>
                      <w:sz w:val="21"/>
                      <w:szCs w:val="21"/>
                    </w:rPr>
                  </w:pPr>
                  <w:r>
                    <w:rPr>
                      <w:rFonts w:hint="eastAsia"/>
                      <w:b w:val="0"/>
                      <w:bCs w:val="0"/>
                      <w:sz w:val="21"/>
                      <w:szCs w:val="21"/>
                    </w:rPr>
                    <w:t>检测点</w:t>
                  </w:r>
                </w:p>
              </w:tc>
              <w:tc>
                <w:tcPr>
                  <w:tcW w:w="1965" w:type="dxa"/>
                  <w:vAlign w:val="center"/>
                </w:tcPr>
                <w:p>
                  <w:pPr>
                    <w:pStyle w:val="6"/>
                    <w:spacing w:line="240" w:lineRule="auto"/>
                    <w:jc w:val="center"/>
                    <w:outlineLvl w:val="2"/>
                    <w:rPr>
                      <w:b w:val="0"/>
                      <w:bCs w:val="0"/>
                      <w:sz w:val="21"/>
                      <w:szCs w:val="21"/>
                    </w:rPr>
                  </w:pPr>
                  <w:r>
                    <w:rPr>
                      <w:rFonts w:hint="eastAsia"/>
                      <w:b w:val="0"/>
                      <w:bCs w:val="0"/>
                      <w:sz w:val="21"/>
                      <w:szCs w:val="21"/>
                    </w:rPr>
                    <w:t>采样时间</w:t>
                  </w: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检测项目</w:t>
                  </w:r>
                </w:p>
              </w:tc>
              <w:tc>
                <w:tcPr>
                  <w:tcW w:w="1604" w:type="dxa"/>
                  <w:vAlign w:val="center"/>
                </w:tcPr>
                <w:p>
                  <w:pPr>
                    <w:pStyle w:val="6"/>
                    <w:spacing w:line="240" w:lineRule="auto"/>
                    <w:jc w:val="center"/>
                    <w:outlineLvl w:val="2"/>
                    <w:rPr>
                      <w:b w:val="0"/>
                      <w:bCs w:val="0"/>
                      <w:color w:val="000000" w:themeColor="text1"/>
                      <w:sz w:val="21"/>
                      <w:szCs w:val="21"/>
                    </w:rPr>
                  </w:pPr>
                  <w:r>
                    <w:rPr>
                      <w:rFonts w:hint="eastAsia"/>
                      <w:b w:val="0"/>
                      <w:bCs w:val="0"/>
                      <w:color w:val="000000" w:themeColor="text1"/>
                      <w:sz w:val="21"/>
                      <w:szCs w:val="21"/>
                    </w:rPr>
                    <w:t>检测结果</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参考标准限值</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Pr>
              <w:tc>
                <w:tcPr>
                  <w:tcW w:w="1413" w:type="dxa"/>
                  <w:vMerge w:val="restart"/>
                  <w:vAlign w:val="center"/>
                </w:tcPr>
                <w:p>
                  <w:pPr>
                    <w:pStyle w:val="6"/>
                    <w:spacing w:line="240" w:lineRule="auto"/>
                    <w:jc w:val="center"/>
                    <w:outlineLvl w:val="2"/>
                    <w:rPr>
                      <w:b w:val="0"/>
                      <w:bCs w:val="0"/>
                      <w:sz w:val="21"/>
                      <w:szCs w:val="21"/>
                    </w:rPr>
                  </w:pPr>
                  <w:r>
                    <w:rPr>
                      <w:rFonts w:hint="eastAsia"/>
                      <w:b w:val="0"/>
                      <w:bCs w:val="0"/>
                      <w:sz w:val="21"/>
                      <w:szCs w:val="21"/>
                    </w:rPr>
                    <w:t>东厂界外5m</w:t>
                  </w:r>
                </w:p>
              </w:tc>
              <w:tc>
                <w:tcPr>
                  <w:tcW w:w="1965" w:type="dxa"/>
                  <w:vMerge w:val="restart"/>
                  <w:vAlign w:val="center"/>
                </w:tcPr>
                <w:p>
                  <w:pPr>
                    <w:pStyle w:val="6"/>
                    <w:spacing w:line="240" w:lineRule="auto"/>
                    <w:jc w:val="center"/>
                    <w:outlineLvl w:val="2"/>
                    <w:rPr>
                      <w:b w:val="0"/>
                      <w:bCs w:val="0"/>
                      <w:sz w:val="21"/>
                      <w:szCs w:val="21"/>
                    </w:rPr>
                  </w:pPr>
                  <w:r>
                    <w:rPr>
                      <w:rFonts w:hint="eastAsia"/>
                      <w:b w:val="0"/>
                      <w:bCs w:val="0"/>
                      <w:sz w:val="21"/>
                      <w:szCs w:val="21"/>
                    </w:rPr>
                    <w:t>2021年12月25日</w:t>
                  </w: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工频电场</w:t>
                  </w:r>
                </w:p>
              </w:tc>
              <w:tc>
                <w:tcPr>
                  <w:tcW w:w="1604" w:type="dxa"/>
                  <w:vAlign w:val="center"/>
                </w:tcPr>
                <w:p>
                  <w:pPr>
                    <w:pStyle w:val="6"/>
                    <w:spacing w:line="240" w:lineRule="auto"/>
                    <w:jc w:val="center"/>
                    <w:outlineLvl w:val="2"/>
                    <w:rPr>
                      <w:b w:val="0"/>
                      <w:bCs w:val="0"/>
                      <w:color w:val="000000" w:themeColor="text1"/>
                      <w:sz w:val="21"/>
                      <w:szCs w:val="21"/>
                    </w:rPr>
                  </w:pPr>
                  <w:r>
                    <w:rPr>
                      <w:rFonts w:hint="eastAsia"/>
                      <w:b w:val="0"/>
                      <w:bCs w:val="0"/>
                      <w:color w:val="000000" w:themeColor="text1"/>
                      <w:sz w:val="21"/>
                      <w:szCs w:val="21"/>
                    </w:rPr>
                    <w:t>195.42</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4000V/m</w:t>
                  </w:r>
                </w:p>
              </w:tc>
              <w:tc>
                <w:tcPr>
                  <w:tcW w:w="1606"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Pr>
              <w:tc>
                <w:tcPr>
                  <w:tcW w:w="1413" w:type="dxa"/>
                  <w:vMerge w:val="continue"/>
                  <w:vAlign w:val="center"/>
                </w:tcPr>
                <w:p>
                  <w:pPr>
                    <w:pStyle w:val="6"/>
                    <w:spacing w:line="240" w:lineRule="auto"/>
                    <w:jc w:val="center"/>
                    <w:outlineLvl w:val="2"/>
                    <w:rPr>
                      <w:b w:val="0"/>
                      <w:bCs w:val="0"/>
                      <w:sz w:val="21"/>
                      <w:szCs w:val="21"/>
                    </w:rPr>
                  </w:pPr>
                </w:p>
              </w:tc>
              <w:tc>
                <w:tcPr>
                  <w:tcW w:w="1965" w:type="dxa"/>
                  <w:vMerge w:val="continue"/>
                  <w:vAlign w:val="center"/>
                </w:tcPr>
                <w:p>
                  <w:pPr>
                    <w:pStyle w:val="6"/>
                    <w:spacing w:line="240" w:lineRule="auto"/>
                    <w:jc w:val="center"/>
                    <w:outlineLvl w:val="2"/>
                    <w:rPr>
                      <w:b w:val="0"/>
                      <w:bCs w:val="0"/>
                      <w:sz w:val="21"/>
                      <w:szCs w:val="21"/>
                    </w:rPr>
                  </w:pP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工频磁感应强度</w:t>
                  </w:r>
                </w:p>
              </w:tc>
              <w:tc>
                <w:tcPr>
                  <w:tcW w:w="1604" w:type="dxa"/>
                  <w:vAlign w:val="center"/>
                </w:tcPr>
                <w:p>
                  <w:pPr>
                    <w:pStyle w:val="6"/>
                    <w:spacing w:line="240" w:lineRule="auto"/>
                    <w:jc w:val="center"/>
                    <w:outlineLvl w:val="2"/>
                    <w:rPr>
                      <w:b w:val="0"/>
                      <w:bCs w:val="0"/>
                      <w:color w:val="000000" w:themeColor="text1"/>
                      <w:sz w:val="21"/>
                      <w:szCs w:val="21"/>
                    </w:rPr>
                  </w:pPr>
                  <w:r>
                    <w:rPr>
                      <w:rFonts w:hint="eastAsia"/>
                      <w:b w:val="0"/>
                      <w:bCs w:val="0"/>
                      <w:color w:val="000000" w:themeColor="text1"/>
                      <w:sz w:val="21"/>
                      <w:szCs w:val="21"/>
                    </w:rPr>
                    <w:t>0.0138</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100μT</w:t>
                  </w:r>
                </w:p>
              </w:tc>
              <w:tc>
                <w:tcPr>
                  <w:tcW w:w="1606"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Height w:val="1755" w:hRule="atLeast"/>
              </w:trPr>
              <w:tc>
                <w:tcPr>
                  <w:tcW w:w="1413" w:type="dxa"/>
                  <w:vMerge w:val="continue"/>
                  <w:vAlign w:val="center"/>
                </w:tcPr>
                <w:p>
                  <w:pPr>
                    <w:pStyle w:val="6"/>
                    <w:spacing w:line="240" w:lineRule="auto"/>
                    <w:jc w:val="center"/>
                    <w:outlineLvl w:val="2"/>
                    <w:rPr>
                      <w:b w:val="0"/>
                      <w:bCs w:val="0"/>
                      <w:sz w:val="21"/>
                      <w:szCs w:val="21"/>
                    </w:rPr>
                  </w:pPr>
                </w:p>
              </w:tc>
              <w:tc>
                <w:tcPr>
                  <w:tcW w:w="1965" w:type="dxa"/>
                  <w:vMerge w:val="restart"/>
                  <w:vAlign w:val="center"/>
                </w:tcPr>
                <w:p>
                  <w:pPr>
                    <w:pStyle w:val="6"/>
                    <w:spacing w:line="240" w:lineRule="auto"/>
                    <w:jc w:val="center"/>
                    <w:outlineLvl w:val="2"/>
                    <w:rPr>
                      <w:b w:val="0"/>
                      <w:bCs w:val="0"/>
                      <w:sz w:val="21"/>
                      <w:szCs w:val="21"/>
                    </w:rPr>
                  </w:pPr>
                  <w:r>
                    <w:rPr>
                      <w:rFonts w:hint="eastAsia"/>
                      <w:b w:val="0"/>
                      <w:bCs w:val="0"/>
                      <w:sz w:val="21"/>
                      <w:szCs w:val="21"/>
                    </w:rPr>
                    <w:t>2021年12月26日</w:t>
                  </w: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工频电场</w:t>
                  </w:r>
                </w:p>
              </w:tc>
              <w:tc>
                <w:tcPr>
                  <w:tcW w:w="1604" w:type="dxa"/>
                  <w:vAlign w:val="center"/>
                </w:tcPr>
                <w:p>
                  <w:pPr>
                    <w:pStyle w:val="6"/>
                    <w:spacing w:line="240" w:lineRule="auto"/>
                    <w:jc w:val="center"/>
                    <w:outlineLvl w:val="2"/>
                    <w:rPr>
                      <w:b w:val="0"/>
                      <w:bCs w:val="0"/>
                      <w:sz w:val="21"/>
                      <w:szCs w:val="21"/>
                    </w:rPr>
                  </w:pPr>
                  <w:r>
                    <w:rPr>
                      <w:rFonts w:hint="eastAsia"/>
                      <w:b w:val="0"/>
                      <w:bCs w:val="0"/>
                      <w:sz w:val="21"/>
                      <w:szCs w:val="21"/>
                    </w:rPr>
                    <w:t>256.74</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4000V/m</w:t>
                  </w:r>
                </w:p>
              </w:tc>
              <w:tc>
                <w:tcPr>
                  <w:tcW w:w="1606"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Pr>
              <w:tc>
                <w:tcPr>
                  <w:tcW w:w="1413" w:type="dxa"/>
                  <w:vMerge w:val="continue"/>
                  <w:vAlign w:val="center"/>
                </w:tcPr>
                <w:p>
                  <w:pPr>
                    <w:pStyle w:val="6"/>
                    <w:spacing w:line="240" w:lineRule="auto"/>
                    <w:jc w:val="center"/>
                    <w:outlineLvl w:val="2"/>
                    <w:rPr>
                      <w:b w:val="0"/>
                      <w:bCs w:val="0"/>
                      <w:sz w:val="21"/>
                      <w:szCs w:val="21"/>
                    </w:rPr>
                  </w:pPr>
                </w:p>
              </w:tc>
              <w:tc>
                <w:tcPr>
                  <w:tcW w:w="1965" w:type="dxa"/>
                  <w:vMerge w:val="continue"/>
                  <w:vAlign w:val="center"/>
                </w:tcPr>
                <w:p>
                  <w:pPr>
                    <w:pStyle w:val="6"/>
                    <w:spacing w:line="240" w:lineRule="auto"/>
                    <w:jc w:val="center"/>
                    <w:outlineLvl w:val="2"/>
                    <w:rPr>
                      <w:b w:val="0"/>
                      <w:bCs w:val="0"/>
                      <w:sz w:val="21"/>
                      <w:szCs w:val="21"/>
                    </w:rPr>
                  </w:pP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工频磁感应强度</w:t>
                  </w:r>
                </w:p>
              </w:tc>
              <w:tc>
                <w:tcPr>
                  <w:tcW w:w="1604" w:type="dxa"/>
                  <w:vAlign w:val="center"/>
                </w:tcPr>
                <w:p>
                  <w:pPr>
                    <w:pStyle w:val="6"/>
                    <w:spacing w:line="240" w:lineRule="auto"/>
                    <w:jc w:val="center"/>
                    <w:outlineLvl w:val="2"/>
                    <w:rPr>
                      <w:b w:val="0"/>
                      <w:bCs w:val="0"/>
                      <w:sz w:val="21"/>
                      <w:szCs w:val="21"/>
                    </w:rPr>
                  </w:pPr>
                  <w:r>
                    <w:rPr>
                      <w:rFonts w:hint="eastAsia"/>
                      <w:b w:val="0"/>
                      <w:bCs w:val="0"/>
                      <w:sz w:val="21"/>
                      <w:szCs w:val="21"/>
                    </w:rPr>
                    <w:t>0.0103</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100μT</w:t>
                  </w:r>
                </w:p>
              </w:tc>
              <w:tc>
                <w:tcPr>
                  <w:tcW w:w="1606"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Pr>
              <w:tc>
                <w:tcPr>
                  <w:tcW w:w="1413" w:type="dxa"/>
                  <w:vMerge w:val="restart"/>
                  <w:vAlign w:val="center"/>
                </w:tcPr>
                <w:p>
                  <w:pPr>
                    <w:pStyle w:val="6"/>
                    <w:spacing w:line="240" w:lineRule="auto"/>
                    <w:jc w:val="center"/>
                    <w:outlineLvl w:val="2"/>
                    <w:rPr>
                      <w:b w:val="0"/>
                      <w:bCs w:val="0"/>
                      <w:sz w:val="21"/>
                      <w:szCs w:val="21"/>
                    </w:rPr>
                  </w:pPr>
                  <w:r>
                    <w:rPr>
                      <w:rFonts w:hint="eastAsia"/>
                      <w:b w:val="0"/>
                      <w:bCs w:val="0"/>
                      <w:sz w:val="21"/>
                      <w:szCs w:val="21"/>
                    </w:rPr>
                    <w:t>南厂界外5</w:t>
                  </w:r>
                  <w:r>
                    <w:rPr>
                      <w:b w:val="0"/>
                      <w:bCs w:val="0"/>
                      <w:sz w:val="21"/>
                      <w:szCs w:val="21"/>
                    </w:rPr>
                    <w:t>m</w:t>
                  </w:r>
                </w:p>
              </w:tc>
              <w:tc>
                <w:tcPr>
                  <w:tcW w:w="1965" w:type="dxa"/>
                  <w:vMerge w:val="restart"/>
                  <w:vAlign w:val="center"/>
                </w:tcPr>
                <w:p>
                  <w:pPr>
                    <w:pStyle w:val="6"/>
                    <w:spacing w:line="240" w:lineRule="auto"/>
                    <w:jc w:val="center"/>
                    <w:outlineLvl w:val="2"/>
                    <w:rPr>
                      <w:b w:val="0"/>
                      <w:bCs w:val="0"/>
                      <w:sz w:val="21"/>
                      <w:szCs w:val="21"/>
                    </w:rPr>
                  </w:pPr>
                  <w:r>
                    <w:rPr>
                      <w:rFonts w:hint="eastAsia"/>
                      <w:b w:val="0"/>
                      <w:bCs w:val="0"/>
                      <w:sz w:val="21"/>
                      <w:szCs w:val="21"/>
                    </w:rPr>
                    <w:t>2021年12月25日</w:t>
                  </w: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工频电场</w:t>
                  </w:r>
                </w:p>
              </w:tc>
              <w:tc>
                <w:tcPr>
                  <w:tcW w:w="1604" w:type="dxa"/>
                  <w:vAlign w:val="center"/>
                </w:tcPr>
                <w:p>
                  <w:pPr>
                    <w:pStyle w:val="6"/>
                    <w:spacing w:line="240" w:lineRule="auto"/>
                    <w:jc w:val="center"/>
                    <w:outlineLvl w:val="2"/>
                    <w:rPr>
                      <w:b w:val="0"/>
                      <w:bCs w:val="0"/>
                      <w:sz w:val="21"/>
                      <w:szCs w:val="21"/>
                    </w:rPr>
                  </w:pPr>
                  <w:r>
                    <w:rPr>
                      <w:rFonts w:hint="eastAsia"/>
                      <w:b w:val="0"/>
                      <w:bCs w:val="0"/>
                      <w:sz w:val="21"/>
                      <w:szCs w:val="21"/>
                    </w:rPr>
                    <w:t>2.48</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4000V/m</w:t>
                  </w:r>
                </w:p>
              </w:tc>
              <w:tc>
                <w:tcPr>
                  <w:tcW w:w="1606"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vAlign w:val="center"/>
                </w:tcPr>
                <w:p>
                  <w:pPr>
                    <w:pStyle w:val="6"/>
                    <w:spacing w:line="240" w:lineRule="auto"/>
                    <w:jc w:val="center"/>
                    <w:outlineLvl w:val="2"/>
                    <w:rPr>
                      <w:b w:val="0"/>
                      <w:bCs w:val="0"/>
                      <w:sz w:val="21"/>
                      <w:szCs w:val="21"/>
                    </w:rPr>
                  </w:pPr>
                </w:p>
              </w:tc>
              <w:tc>
                <w:tcPr>
                  <w:tcW w:w="1965" w:type="dxa"/>
                  <w:vMerge w:val="continue"/>
                  <w:vAlign w:val="center"/>
                </w:tcPr>
                <w:p>
                  <w:pPr>
                    <w:pStyle w:val="6"/>
                    <w:spacing w:line="240" w:lineRule="auto"/>
                    <w:jc w:val="center"/>
                    <w:outlineLvl w:val="2"/>
                    <w:rPr>
                      <w:b w:val="0"/>
                      <w:bCs w:val="0"/>
                      <w:sz w:val="21"/>
                      <w:szCs w:val="21"/>
                    </w:rPr>
                  </w:pP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工频磁感应强度</w:t>
                  </w:r>
                </w:p>
              </w:tc>
              <w:tc>
                <w:tcPr>
                  <w:tcW w:w="1604" w:type="dxa"/>
                  <w:vAlign w:val="center"/>
                </w:tcPr>
                <w:p>
                  <w:pPr>
                    <w:pStyle w:val="6"/>
                    <w:spacing w:line="240" w:lineRule="auto"/>
                    <w:jc w:val="center"/>
                    <w:outlineLvl w:val="2"/>
                    <w:rPr>
                      <w:b w:val="0"/>
                      <w:bCs w:val="0"/>
                      <w:sz w:val="21"/>
                      <w:szCs w:val="21"/>
                    </w:rPr>
                  </w:pPr>
                  <w:r>
                    <w:rPr>
                      <w:rFonts w:hint="eastAsia"/>
                      <w:b w:val="0"/>
                      <w:bCs w:val="0"/>
                      <w:sz w:val="21"/>
                      <w:szCs w:val="21"/>
                    </w:rPr>
                    <w:t>0.0296</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100μT</w:t>
                  </w:r>
                </w:p>
              </w:tc>
              <w:tc>
                <w:tcPr>
                  <w:tcW w:w="1606" w:type="dxa"/>
                  <w:vAlign w:val="center"/>
                </w:tcPr>
                <w:p>
                  <w:pPr>
                    <w:jc w:val="center"/>
                    <w:rPr>
                      <w:szCs w:val="21"/>
                    </w:rPr>
                  </w:pPr>
                  <w:r>
                    <w:rPr>
                      <w:rFonts w:hint="eastAsia"/>
                      <w:szCs w:val="21"/>
                    </w:rPr>
                    <w:t>达标</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V/m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Pr>
              <w:tc>
                <w:tcPr>
                  <w:tcW w:w="1413" w:type="dxa"/>
                  <w:vMerge w:val="continue"/>
                  <w:vAlign w:val="center"/>
                </w:tcPr>
                <w:p>
                  <w:pPr>
                    <w:pStyle w:val="6"/>
                    <w:spacing w:line="240" w:lineRule="auto"/>
                    <w:jc w:val="center"/>
                    <w:outlineLvl w:val="2"/>
                    <w:rPr>
                      <w:b w:val="0"/>
                      <w:bCs w:val="0"/>
                      <w:sz w:val="21"/>
                      <w:szCs w:val="21"/>
                    </w:rPr>
                  </w:pPr>
                </w:p>
              </w:tc>
              <w:tc>
                <w:tcPr>
                  <w:tcW w:w="1965" w:type="dxa"/>
                  <w:vMerge w:val="restart"/>
                  <w:vAlign w:val="center"/>
                </w:tcPr>
                <w:p>
                  <w:pPr>
                    <w:pStyle w:val="6"/>
                    <w:spacing w:line="240" w:lineRule="auto"/>
                    <w:jc w:val="center"/>
                    <w:outlineLvl w:val="2"/>
                    <w:rPr>
                      <w:b w:val="0"/>
                      <w:bCs w:val="0"/>
                      <w:sz w:val="21"/>
                      <w:szCs w:val="21"/>
                    </w:rPr>
                  </w:pPr>
                  <w:r>
                    <w:rPr>
                      <w:rFonts w:hint="eastAsia"/>
                      <w:b w:val="0"/>
                      <w:bCs w:val="0"/>
                      <w:sz w:val="21"/>
                      <w:szCs w:val="21"/>
                    </w:rPr>
                    <w:t>2021年12月26日</w:t>
                  </w: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工频电场</w:t>
                  </w:r>
                </w:p>
              </w:tc>
              <w:tc>
                <w:tcPr>
                  <w:tcW w:w="1604" w:type="dxa"/>
                  <w:vAlign w:val="center"/>
                </w:tcPr>
                <w:p>
                  <w:pPr>
                    <w:pStyle w:val="6"/>
                    <w:spacing w:line="240" w:lineRule="auto"/>
                    <w:jc w:val="center"/>
                    <w:outlineLvl w:val="2"/>
                    <w:rPr>
                      <w:b w:val="0"/>
                      <w:bCs w:val="0"/>
                      <w:sz w:val="21"/>
                      <w:szCs w:val="21"/>
                    </w:rPr>
                  </w:pPr>
                  <w:r>
                    <w:rPr>
                      <w:rFonts w:hint="eastAsia"/>
                      <w:b w:val="0"/>
                      <w:bCs w:val="0"/>
                      <w:sz w:val="21"/>
                      <w:szCs w:val="21"/>
                    </w:rPr>
                    <w:t>2.29</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4000V/m</w:t>
                  </w:r>
                </w:p>
              </w:tc>
              <w:tc>
                <w:tcPr>
                  <w:tcW w:w="1606"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Pr>
              <w:tc>
                <w:tcPr>
                  <w:tcW w:w="1413" w:type="dxa"/>
                  <w:vMerge w:val="continue"/>
                  <w:vAlign w:val="center"/>
                </w:tcPr>
                <w:p>
                  <w:pPr>
                    <w:pStyle w:val="6"/>
                    <w:spacing w:line="240" w:lineRule="auto"/>
                    <w:jc w:val="center"/>
                    <w:outlineLvl w:val="2"/>
                    <w:rPr>
                      <w:b w:val="0"/>
                      <w:bCs w:val="0"/>
                      <w:sz w:val="21"/>
                      <w:szCs w:val="21"/>
                    </w:rPr>
                  </w:pPr>
                </w:p>
              </w:tc>
              <w:tc>
                <w:tcPr>
                  <w:tcW w:w="1965" w:type="dxa"/>
                  <w:vMerge w:val="continue"/>
                  <w:vAlign w:val="center"/>
                </w:tcPr>
                <w:p>
                  <w:pPr>
                    <w:pStyle w:val="6"/>
                    <w:spacing w:line="240" w:lineRule="auto"/>
                    <w:jc w:val="center"/>
                    <w:outlineLvl w:val="2"/>
                    <w:rPr>
                      <w:b w:val="0"/>
                      <w:bCs w:val="0"/>
                      <w:sz w:val="21"/>
                      <w:szCs w:val="21"/>
                    </w:rPr>
                  </w:pP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工频磁感应强度</w:t>
                  </w:r>
                </w:p>
              </w:tc>
              <w:tc>
                <w:tcPr>
                  <w:tcW w:w="1604" w:type="dxa"/>
                  <w:vAlign w:val="center"/>
                </w:tcPr>
                <w:p>
                  <w:pPr>
                    <w:pStyle w:val="6"/>
                    <w:spacing w:line="240" w:lineRule="auto"/>
                    <w:jc w:val="center"/>
                    <w:outlineLvl w:val="2"/>
                    <w:rPr>
                      <w:b w:val="0"/>
                      <w:bCs w:val="0"/>
                      <w:sz w:val="21"/>
                      <w:szCs w:val="21"/>
                    </w:rPr>
                  </w:pPr>
                  <w:r>
                    <w:rPr>
                      <w:rFonts w:hint="eastAsia"/>
                      <w:b w:val="0"/>
                      <w:bCs w:val="0"/>
                      <w:sz w:val="21"/>
                      <w:szCs w:val="21"/>
                    </w:rPr>
                    <w:t>0.0198</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100μT</w:t>
                  </w:r>
                </w:p>
              </w:tc>
              <w:tc>
                <w:tcPr>
                  <w:tcW w:w="1606"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Pr>
              <w:tc>
                <w:tcPr>
                  <w:tcW w:w="1413" w:type="dxa"/>
                  <w:vMerge w:val="restart"/>
                  <w:vAlign w:val="center"/>
                </w:tcPr>
                <w:p>
                  <w:pPr>
                    <w:pStyle w:val="6"/>
                    <w:spacing w:line="240" w:lineRule="auto"/>
                    <w:jc w:val="center"/>
                    <w:outlineLvl w:val="2"/>
                    <w:rPr>
                      <w:b w:val="0"/>
                      <w:bCs w:val="0"/>
                      <w:sz w:val="21"/>
                      <w:szCs w:val="21"/>
                    </w:rPr>
                  </w:pPr>
                  <w:r>
                    <w:rPr>
                      <w:rFonts w:hint="eastAsia"/>
                      <w:b w:val="0"/>
                      <w:bCs w:val="0"/>
                      <w:sz w:val="21"/>
                      <w:szCs w:val="21"/>
                    </w:rPr>
                    <w:t>西厂界外5m</w:t>
                  </w:r>
                </w:p>
              </w:tc>
              <w:tc>
                <w:tcPr>
                  <w:tcW w:w="1965" w:type="dxa"/>
                  <w:vMerge w:val="restart"/>
                  <w:vAlign w:val="center"/>
                </w:tcPr>
                <w:p>
                  <w:pPr>
                    <w:pStyle w:val="6"/>
                    <w:spacing w:line="240" w:lineRule="auto"/>
                    <w:jc w:val="center"/>
                    <w:outlineLvl w:val="2"/>
                    <w:rPr>
                      <w:b w:val="0"/>
                      <w:bCs w:val="0"/>
                      <w:sz w:val="21"/>
                      <w:szCs w:val="21"/>
                    </w:rPr>
                  </w:pPr>
                  <w:r>
                    <w:rPr>
                      <w:rFonts w:hint="eastAsia"/>
                      <w:b w:val="0"/>
                      <w:bCs w:val="0"/>
                      <w:sz w:val="21"/>
                      <w:szCs w:val="21"/>
                    </w:rPr>
                    <w:t>2021年12月25日</w:t>
                  </w: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工频电场</w:t>
                  </w:r>
                </w:p>
              </w:tc>
              <w:tc>
                <w:tcPr>
                  <w:tcW w:w="1604" w:type="dxa"/>
                  <w:vAlign w:val="center"/>
                </w:tcPr>
                <w:p>
                  <w:pPr>
                    <w:pStyle w:val="6"/>
                    <w:spacing w:line="240" w:lineRule="auto"/>
                    <w:jc w:val="center"/>
                    <w:outlineLvl w:val="2"/>
                    <w:rPr>
                      <w:b w:val="0"/>
                      <w:bCs w:val="0"/>
                      <w:sz w:val="21"/>
                      <w:szCs w:val="21"/>
                    </w:rPr>
                  </w:pPr>
                  <w:r>
                    <w:rPr>
                      <w:rFonts w:hint="eastAsia"/>
                      <w:b w:val="0"/>
                      <w:bCs w:val="0"/>
                      <w:sz w:val="21"/>
                      <w:szCs w:val="21"/>
                    </w:rPr>
                    <w:t>0.48</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4000V/m</w:t>
                  </w:r>
                </w:p>
              </w:tc>
              <w:tc>
                <w:tcPr>
                  <w:tcW w:w="1606"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Pr>
              <w:tc>
                <w:tcPr>
                  <w:tcW w:w="1413" w:type="dxa"/>
                  <w:vMerge w:val="continue"/>
                  <w:vAlign w:val="center"/>
                </w:tcPr>
                <w:p>
                  <w:pPr>
                    <w:pStyle w:val="6"/>
                    <w:spacing w:line="240" w:lineRule="auto"/>
                    <w:jc w:val="center"/>
                    <w:outlineLvl w:val="2"/>
                    <w:rPr>
                      <w:b w:val="0"/>
                      <w:bCs w:val="0"/>
                      <w:sz w:val="21"/>
                      <w:szCs w:val="21"/>
                    </w:rPr>
                  </w:pPr>
                </w:p>
              </w:tc>
              <w:tc>
                <w:tcPr>
                  <w:tcW w:w="1965" w:type="dxa"/>
                  <w:vMerge w:val="continue"/>
                  <w:vAlign w:val="center"/>
                </w:tcPr>
                <w:p>
                  <w:pPr>
                    <w:pStyle w:val="6"/>
                    <w:spacing w:line="240" w:lineRule="auto"/>
                    <w:jc w:val="center"/>
                    <w:outlineLvl w:val="2"/>
                    <w:rPr>
                      <w:b w:val="0"/>
                      <w:bCs w:val="0"/>
                      <w:sz w:val="21"/>
                      <w:szCs w:val="21"/>
                    </w:rPr>
                  </w:pP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工频磁感应强度</w:t>
                  </w:r>
                </w:p>
              </w:tc>
              <w:tc>
                <w:tcPr>
                  <w:tcW w:w="1604" w:type="dxa"/>
                  <w:vAlign w:val="center"/>
                </w:tcPr>
                <w:p>
                  <w:pPr>
                    <w:pStyle w:val="6"/>
                    <w:spacing w:line="240" w:lineRule="auto"/>
                    <w:jc w:val="center"/>
                    <w:outlineLvl w:val="2"/>
                    <w:rPr>
                      <w:b w:val="0"/>
                      <w:bCs w:val="0"/>
                      <w:sz w:val="21"/>
                      <w:szCs w:val="21"/>
                    </w:rPr>
                  </w:pPr>
                  <w:r>
                    <w:rPr>
                      <w:rFonts w:hint="eastAsia"/>
                      <w:b w:val="0"/>
                      <w:bCs w:val="0"/>
                      <w:sz w:val="21"/>
                      <w:szCs w:val="21"/>
                    </w:rPr>
                    <w:t>0.0102</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100μT</w:t>
                  </w:r>
                </w:p>
              </w:tc>
              <w:tc>
                <w:tcPr>
                  <w:tcW w:w="1606"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Pr>
              <w:tc>
                <w:tcPr>
                  <w:tcW w:w="1413" w:type="dxa"/>
                  <w:vMerge w:val="continue"/>
                  <w:vAlign w:val="center"/>
                </w:tcPr>
                <w:p>
                  <w:pPr>
                    <w:pStyle w:val="6"/>
                    <w:spacing w:line="240" w:lineRule="auto"/>
                    <w:jc w:val="center"/>
                    <w:outlineLvl w:val="2"/>
                    <w:rPr>
                      <w:b w:val="0"/>
                      <w:bCs w:val="0"/>
                      <w:sz w:val="21"/>
                      <w:szCs w:val="21"/>
                    </w:rPr>
                  </w:pPr>
                </w:p>
              </w:tc>
              <w:tc>
                <w:tcPr>
                  <w:tcW w:w="1965" w:type="dxa"/>
                  <w:vMerge w:val="restart"/>
                  <w:vAlign w:val="center"/>
                </w:tcPr>
                <w:p>
                  <w:pPr>
                    <w:pStyle w:val="6"/>
                    <w:spacing w:line="240" w:lineRule="auto"/>
                    <w:jc w:val="center"/>
                    <w:outlineLvl w:val="2"/>
                    <w:rPr>
                      <w:b w:val="0"/>
                      <w:bCs w:val="0"/>
                      <w:sz w:val="21"/>
                      <w:szCs w:val="21"/>
                    </w:rPr>
                  </w:pPr>
                  <w:r>
                    <w:rPr>
                      <w:rFonts w:hint="eastAsia"/>
                      <w:b w:val="0"/>
                      <w:bCs w:val="0"/>
                      <w:sz w:val="21"/>
                      <w:szCs w:val="21"/>
                    </w:rPr>
                    <w:t>2021年12月26日</w:t>
                  </w: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工频电场</w:t>
                  </w:r>
                </w:p>
              </w:tc>
              <w:tc>
                <w:tcPr>
                  <w:tcW w:w="1604" w:type="dxa"/>
                  <w:vAlign w:val="center"/>
                </w:tcPr>
                <w:p>
                  <w:pPr>
                    <w:pStyle w:val="6"/>
                    <w:spacing w:line="240" w:lineRule="auto"/>
                    <w:jc w:val="center"/>
                    <w:outlineLvl w:val="2"/>
                    <w:rPr>
                      <w:b w:val="0"/>
                      <w:bCs w:val="0"/>
                      <w:sz w:val="21"/>
                      <w:szCs w:val="21"/>
                    </w:rPr>
                  </w:pPr>
                  <w:r>
                    <w:rPr>
                      <w:rFonts w:hint="eastAsia"/>
                      <w:b w:val="0"/>
                      <w:bCs w:val="0"/>
                      <w:sz w:val="21"/>
                      <w:szCs w:val="21"/>
                    </w:rPr>
                    <w:t>0.53</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4000V/m</w:t>
                  </w:r>
                </w:p>
              </w:tc>
              <w:tc>
                <w:tcPr>
                  <w:tcW w:w="1606"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Pr>
              <w:tc>
                <w:tcPr>
                  <w:tcW w:w="1413" w:type="dxa"/>
                  <w:vMerge w:val="continue"/>
                  <w:vAlign w:val="center"/>
                </w:tcPr>
                <w:p>
                  <w:pPr>
                    <w:pStyle w:val="6"/>
                    <w:spacing w:line="240" w:lineRule="auto"/>
                    <w:jc w:val="center"/>
                    <w:outlineLvl w:val="2"/>
                    <w:rPr>
                      <w:b w:val="0"/>
                      <w:bCs w:val="0"/>
                      <w:sz w:val="21"/>
                      <w:szCs w:val="21"/>
                    </w:rPr>
                  </w:pPr>
                </w:p>
              </w:tc>
              <w:tc>
                <w:tcPr>
                  <w:tcW w:w="1965" w:type="dxa"/>
                  <w:vMerge w:val="continue"/>
                  <w:vAlign w:val="center"/>
                </w:tcPr>
                <w:p>
                  <w:pPr>
                    <w:pStyle w:val="6"/>
                    <w:spacing w:line="240" w:lineRule="auto"/>
                    <w:jc w:val="center"/>
                    <w:outlineLvl w:val="2"/>
                    <w:rPr>
                      <w:b w:val="0"/>
                      <w:bCs w:val="0"/>
                      <w:sz w:val="21"/>
                      <w:szCs w:val="21"/>
                    </w:rPr>
                  </w:pP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工频磁感应强度</w:t>
                  </w:r>
                </w:p>
              </w:tc>
              <w:tc>
                <w:tcPr>
                  <w:tcW w:w="1604" w:type="dxa"/>
                  <w:vAlign w:val="center"/>
                </w:tcPr>
                <w:p>
                  <w:pPr>
                    <w:pStyle w:val="6"/>
                    <w:spacing w:line="240" w:lineRule="auto"/>
                    <w:jc w:val="center"/>
                    <w:outlineLvl w:val="2"/>
                    <w:rPr>
                      <w:b w:val="0"/>
                      <w:bCs w:val="0"/>
                      <w:sz w:val="21"/>
                      <w:szCs w:val="21"/>
                    </w:rPr>
                  </w:pPr>
                  <w:r>
                    <w:rPr>
                      <w:rFonts w:hint="eastAsia"/>
                      <w:b w:val="0"/>
                      <w:bCs w:val="0"/>
                      <w:sz w:val="21"/>
                      <w:szCs w:val="21"/>
                    </w:rPr>
                    <w:t>0.0080</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100μT</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Pr>
              <w:tc>
                <w:tcPr>
                  <w:tcW w:w="1413" w:type="dxa"/>
                  <w:vMerge w:val="restart"/>
                  <w:vAlign w:val="center"/>
                </w:tcPr>
                <w:p>
                  <w:pPr>
                    <w:pStyle w:val="6"/>
                    <w:spacing w:line="240" w:lineRule="auto"/>
                    <w:jc w:val="center"/>
                    <w:outlineLvl w:val="2"/>
                    <w:rPr>
                      <w:b w:val="0"/>
                      <w:bCs w:val="0"/>
                      <w:sz w:val="21"/>
                      <w:szCs w:val="21"/>
                    </w:rPr>
                  </w:pPr>
                  <w:r>
                    <w:rPr>
                      <w:rFonts w:hint="eastAsia"/>
                      <w:b w:val="0"/>
                      <w:bCs w:val="0"/>
                      <w:sz w:val="21"/>
                      <w:szCs w:val="21"/>
                    </w:rPr>
                    <w:t>北厂界外5</w:t>
                  </w:r>
                  <w:r>
                    <w:rPr>
                      <w:b w:val="0"/>
                      <w:bCs w:val="0"/>
                      <w:sz w:val="21"/>
                      <w:szCs w:val="21"/>
                    </w:rPr>
                    <w:t>m</w:t>
                  </w:r>
                </w:p>
              </w:tc>
              <w:tc>
                <w:tcPr>
                  <w:tcW w:w="1965" w:type="dxa"/>
                  <w:vMerge w:val="restart"/>
                  <w:vAlign w:val="center"/>
                </w:tcPr>
                <w:p>
                  <w:pPr>
                    <w:pStyle w:val="6"/>
                    <w:spacing w:line="240" w:lineRule="auto"/>
                    <w:jc w:val="center"/>
                    <w:outlineLvl w:val="2"/>
                    <w:rPr>
                      <w:b w:val="0"/>
                      <w:bCs w:val="0"/>
                      <w:sz w:val="21"/>
                      <w:szCs w:val="21"/>
                    </w:rPr>
                  </w:pPr>
                  <w:r>
                    <w:rPr>
                      <w:rFonts w:hint="eastAsia"/>
                      <w:b w:val="0"/>
                      <w:bCs w:val="0"/>
                      <w:sz w:val="21"/>
                      <w:szCs w:val="21"/>
                    </w:rPr>
                    <w:t>2021年12月25日</w:t>
                  </w: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工频电场</w:t>
                  </w:r>
                </w:p>
              </w:tc>
              <w:tc>
                <w:tcPr>
                  <w:tcW w:w="1604" w:type="dxa"/>
                  <w:vAlign w:val="center"/>
                </w:tcPr>
                <w:p>
                  <w:pPr>
                    <w:pStyle w:val="6"/>
                    <w:spacing w:line="240" w:lineRule="auto"/>
                    <w:jc w:val="center"/>
                    <w:outlineLvl w:val="2"/>
                    <w:rPr>
                      <w:b w:val="0"/>
                      <w:bCs w:val="0"/>
                      <w:sz w:val="21"/>
                      <w:szCs w:val="21"/>
                    </w:rPr>
                  </w:pPr>
                  <w:r>
                    <w:rPr>
                      <w:rFonts w:hint="eastAsia"/>
                      <w:b w:val="0"/>
                      <w:bCs w:val="0"/>
                      <w:sz w:val="21"/>
                      <w:szCs w:val="21"/>
                    </w:rPr>
                    <w:t>6.58</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4000V/m</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Pr>
              <w:tc>
                <w:tcPr>
                  <w:tcW w:w="1413" w:type="dxa"/>
                  <w:vMerge w:val="continue"/>
                  <w:vAlign w:val="center"/>
                </w:tcPr>
                <w:p>
                  <w:pPr>
                    <w:pStyle w:val="6"/>
                    <w:spacing w:line="240" w:lineRule="auto"/>
                    <w:jc w:val="center"/>
                    <w:outlineLvl w:val="2"/>
                    <w:rPr>
                      <w:b w:val="0"/>
                      <w:bCs w:val="0"/>
                      <w:sz w:val="21"/>
                      <w:szCs w:val="21"/>
                    </w:rPr>
                  </w:pPr>
                </w:p>
              </w:tc>
              <w:tc>
                <w:tcPr>
                  <w:tcW w:w="1965" w:type="dxa"/>
                  <w:vMerge w:val="continue"/>
                  <w:vAlign w:val="center"/>
                </w:tcPr>
                <w:p>
                  <w:pPr>
                    <w:pStyle w:val="6"/>
                    <w:spacing w:line="240" w:lineRule="auto"/>
                    <w:jc w:val="center"/>
                    <w:outlineLvl w:val="2"/>
                    <w:rPr>
                      <w:b w:val="0"/>
                      <w:bCs w:val="0"/>
                      <w:sz w:val="21"/>
                      <w:szCs w:val="21"/>
                    </w:rPr>
                  </w:pP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工频磁感应强度</w:t>
                  </w:r>
                </w:p>
              </w:tc>
              <w:tc>
                <w:tcPr>
                  <w:tcW w:w="1604" w:type="dxa"/>
                  <w:vAlign w:val="center"/>
                </w:tcPr>
                <w:p>
                  <w:pPr>
                    <w:pStyle w:val="6"/>
                    <w:spacing w:line="240" w:lineRule="auto"/>
                    <w:jc w:val="center"/>
                    <w:outlineLvl w:val="2"/>
                    <w:rPr>
                      <w:b w:val="0"/>
                      <w:bCs w:val="0"/>
                      <w:sz w:val="21"/>
                      <w:szCs w:val="21"/>
                    </w:rPr>
                  </w:pPr>
                  <w:r>
                    <w:rPr>
                      <w:rFonts w:hint="eastAsia"/>
                      <w:b w:val="0"/>
                      <w:bCs w:val="0"/>
                      <w:sz w:val="21"/>
                      <w:szCs w:val="21"/>
                    </w:rPr>
                    <w:t>0.0118</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100μT</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Pr>
              <w:tc>
                <w:tcPr>
                  <w:tcW w:w="1413" w:type="dxa"/>
                  <w:vMerge w:val="continue"/>
                  <w:vAlign w:val="center"/>
                </w:tcPr>
                <w:p>
                  <w:pPr>
                    <w:pStyle w:val="6"/>
                    <w:spacing w:line="240" w:lineRule="auto"/>
                    <w:jc w:val="center"/>
                    <w:outlineLvl w:val="2"/>
                    <w:rPr>
                      <w:b w:val="0"/>
                      <w:bCs w:val="0"/>
                      <w:sz w:val="21"/>
                      <w:szCs w:val="21"/>
                    </w:rPr>
                  </w:pPr>
                </w:p>
              </w:tc>
              <w:tc>
                <w:tcPr>
                  <w:tcW w:w="1965" w:type="dxa"/>
                  <w:vMerge w:val="restart"/>
                  <w:vAlign w:val="center"/>
                </w:tcPr>
                <w:p>
                  <w:pPr>
                    <w:pStyle w:val="6"/>
                    <w:spacing w:line="240" w:lineRule="auto"/>
                    <w:jc w:val="center"/>
                    <w:outlineLvl w:val="2"/>
                    <w:rPr>
                      <w:b w:val="0"/>
                      <w:bCs w:val="0"/>
                      <w:sz w:val="21"/>
                      <w:szCs w:val="21"/>
                    </w:rPr>
                  </w:pPr>
                  <w:r>
                    <w:rPr>
                      <w:rFonts w:hint="eastAsia"/>
                      <w:b w:val="0"/>
                      <w:bCs w:val="0"/>
                      <w:sz w:val="21"/>
                      <w:szCs w:val="21"/>
                    </w:rPr>
                    <w:t>2021年12月26日</w:t>
                  </w: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工频电场</w:t>
                  </w:r>
                </w:p>
              </w:tc>
              <w:tc>
                <w:tcPr>
                  <w:tcW w:w="1604" w:type="dxa"/>
                  <w:vAlign w:val="center"/>
                </w:tcPr>
                <w:p>
                  <w:pPr>
                    <w:pStyle w:val="6"/>
                    <w:spacing w:line="240" w:lineRule="auto"/>
                    <w:jc w:val="center"/>
                    <w:outlineLvl w:val="2"/>
                    <w:rPr>
                      <w:b w:val="0"/>
                      <w:bCs w:val="0"/>
                      <w:sz w:val="21"/>
                      <w:szCs w:val="21"/>
                    </w:rPr>
                  </w:pPr>
                  <w:r>
                    <w:rPr>
                      <w:rFonts w:hint="eastAsia"/>
                      <w:b w:val="0"/>
                      <w:bCs w:val="0"/>
                      <w:sz w:val="21"/>
                      <w:szCs w:val="21"/>
                    </w:rPr>
                    <w:t>4.60</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4000V/m</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06" w:type="dxa"/>
              </w:trPr>
              <w:tc>
                <w:tcPr>
                  <w:tcW w:w="1413" w:type="dxa"/>
                  <w:vMerge w:val="continue"/>
                  <w:vAlign w:val="center"/>
                </w:tcPr>
                <w:p>
                  <w:pPr>
                    <w:pStyle w:val="6"/>
                    <w:spacing w:line="240" w:lineRule="auto"/>
                    <w:jc w:val="center"/>
                    <w:outlineLvl w:val="2"/>
                    <w:rPr>
                      <w:b w:val="0"/>
                      <w:bCs w:val="0"/>
                      <w:sz w:val="21"/>
                      <w:szCs w:val="21"/>
                    </w:rPr>
                  </w:pPr>
                </w:p>
              </w:tc>
              <w:tc>
                <w:tcPr>
                  <w:tcW w:w="1965" w:type="dxa"/>
                  <w:vMerge w:val="continue"/>
                  <w:vAlign w:val="center"/>
                </w:tcPr>
                <w:p>
                  <w:pPr>
                    <w:pStyle w:val="6"/>
                    <w:spacing w:line="240" w:lineRule="auto"/>
                    <w:jc w:val="center"/>
                    <w:outlineLvl w:val="2"/>
                    <w:rPr>
                      <w:b w:val="0"/>
                      <w:bCs w:val="0"/>
                      <w:sz w:val="21"/>
                      <w:szCs w:val="21"/>
                    </w:rPr>
                  </w:pPr>
                </w:p>
              </w:tc>
              <w:tc>
                <w:tcPr>
                  <w:tcW w:w="1434" w:type="dxa"/>
                  <w:vAlign w:val="center"/>
                </w:tcPr>
                <w:p>
                  <w:pPr>
                    <w:pStyle w:val="6"/>
                    <w:spacing w:line="240" w:lineRule="auto"/>
                    <w:jc w:val="center"/>
                    <w:outlineLvl w:val="2"/>
                    <w:rPr>
                      <w:b w:val="0"/>
                      <w:bCs w:val="0"/>
                      <w:sz w:val="21"/>
                      <w:szCs w:val="21"/>
                    </w:rPr>
                  </w:pPr>
                  <w:r>
                    <w:rPr>
                      <w:rFonts w:hint="eastAsia"/>
                      <w:b w:val="0"/>
                      <w:bCs w:val="0"/>
                      <w:sz w:val="21"/>
                      <w:szCs w:val="21"/>
                    </w:rPr>
                    <w:t>工频磁感应强度</w:t>
                  </w:r>
                </w:p>
              </w:tc>
              <w:tc>
                <w:tcPr>
                  <w:tcW w:w="1604" w:type="dxa"/>
                  <w:vAlign w:val="center"/>
                </w:tcPr>
                <w:p>
                  <w:pPr>
                    <w:pStyle w:val="6"/>
                    <w:spacing w:line="240" w:lineRule="auto"/>
                    <w:jc w:val="center"/>
                    <w:outlineLvl w:val="2"/>
                    <w:rPr>
                      <w:b w:val="0"/>
                      <w:bCs w:val="0"/>
                      <w:sz w:val="21"/>
                      <w:szCs w:val="21"/>
                    </w:rPr>
                  </w:pPr>
                  <w:r>
                    <w:rPr>
                      <w:rFonts w:hint="eastAsia"/>
                      <w:b w:val="0"/>
                      <w:bCs w:val="0"/>
                      <w:sz w:val="21"/>
                      <w:szCs w:val="21"/>
                    </w:rPr>
                    <w:t>0.0252</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100μT</w:t>
                  </w:r>
                </w:p>
              </w:tc>
              <w:tc>
                <w:tcPr>
                  <w:tcW w:w="1606" w:type="dxa"/>
                  <w:vAlign w:val="center"/>
                </w:tcPr>
                <w:p>
                  <w:pPr>
                    <w:pStyle w:val="6"/>
                    <w:spacing w:line="240" w:lineRule="auto"/>
                    <w:jc w:val="center"/>
                    <w:outlineLvl w:val="2"/>
                    <w:rPr>
                      <w:b w:val="0"/>
                      <w:bCs w:val="0"/>
                      <w:sz w:val="21"/>
                      <w:szCs w:val="21"/>
                    </w:rPr>
                  </w:pPr>
                  <w:r>
                    <w:rPr>
                      <w:rFonts w:hint="eastAsia"/>
                      <w:b w:val="0"/>
                      <w:bCs w:val="0"/>
                      <w:sz w:val="21"/>
                      <w:szCs w:val="21"/>
                    </w:rPr>
                    <w:t>达标</w:t>
                  </w:r>
                </w:p>
              </w:tc>
            </w:tr>
          </w:tbl>
          <w:p>
            <w:pPr>
              <w:spacing w:beforeLines="50" w:line="416" w:lineRule="auto"/>
              <w:ind w:firstLine="420" w:firstLineChars="200"/>
              <w:rPr>
                <w:szCs w:val="21"/>
              </w:rPr>
            </w:pPr>
            <w:r>
              <w:rPr>
                <w:rFonts w:hint="eastAsia"/>
                <w:szCs w:val="21"/>
              </w:rPr>
              <w:t>根据</w:t>
            </w:r>
            <w:r>
              <w:rPr>
                <w:szCs w:val="21"/>
              </w:rPr>
              <w:t>表</w:t>
            </w:r>
            <w:r>
              <w:rPr>
                <w:rFonts w:hint="eastAsia"/>
                <w:szCs w:val="21"/>
              </w:rPr>
              <w:t>8.6，</w:t>
            </w:r>
            <w:r>
              <w:rPr>
                <w:szCs w:val="21"/>
              </w:rPr>
              <w:t>监测结果表明，验收监测期间</w:t>
            </w:r>
            <w:r>
              <w:rPr>
                <w:rFonts w:hint="eastAsia"/>
                <w:szCs w:val="21"/>
              </w:rPr>
              <w:t>，运营期间工频电场、工频磁场满足《电磁环境控制限值》（G</w:t>
            </w:r>
            <w:r>
              <w:rPr>
                <w:szCs w:val="21"/>
              </w:rPr>
              <w:t>B</w:t>
            </w:r>
            <w:r>
              <w:rPr>
                <w:rFonts w:hint="eastAsia"/>
                <w:szCs w:val="21"/>
              </w:rPr>
              <w:t>8702-2014）表1标准。</w:t>
            </w:r>
          </w:p>
          <w:p>
            <w:pPr>
              <w:spacing w:beforeLines="50" w:line="360" w:lineRule="auto"/>
              <w:jc w:val="left"/>
              <w:rPr>
                <w:szCs w:val="21"/>
              </w:rPr>
            </w:pPr>
            <w:r>
              <w:rPr>
                <w:rFonts w:hint="eastAsia"/>
                <w:szCs w:val="21"/>
              </w:rPr>
              <w:t>8.7.2 噪声监测结果</w:t>
            </w:r>
          </w:p>
          <w:p>
            <w:pPr>
              <w:jc w:val="center"/>
              <w:rPr>
                <w:szCs w:val="21"/>
              </w:rPr>
            </w:pPr>
            <w:r>
              <w:rPr>
                <w:szCs w:val="21"/>
              </w:rPr>
              <w:t>表</w:t>
            </w:r>
            <w:r>
              <w:rPr>
                <w:rFonts w:hint="eastAsia"/>
                <w:szCs w:val="21"/>
              </w:rPr>
              <w:t xml:space="preserve">8.7 </w:t>
            </w:r>
            <w:r>
              <w:rPr>
                <w:szCs w:val="21"/>
              </w:rPr>
              <w:t>厂界噪声监测结果</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96"/>
              <w:gridCol w:w="861"/>
              <w:gridCol w:w="1137"/>
              <w:gridCol w:w="1220"/>
              <w:gridCol w:w="1111"/>
              <w:gridCol w:w="1111"/>
              <w:gridCol w:w="1114"/>
              <w:gridCol w:w="955"/>
              <w:gridCol w:w="93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65" w:type="dxa"/>
                  <w:gridSpan w:val="2"/>
                  <w:tcBorders>
                    <w:top w:val="single" w:color="auto" w:sz="12" w:space="0"/>
                    <w:bottom w:val="single" w:color="auto" w:sz="6" w:space="0"/>
                    <w:tl2br w:val="single" w:color="auto" w:sz="6" w:space="0"/>
                  </w:tcBorders>
                  <w:vAlign w:val="center"/>
                </w:tcPr>
                <w:p>
                  <w:pPr>
                    <w:jc w:val="right"/>
                    <w:rPr>
                      <w:szCs w:val="21"/>
                    </w:rPr>
                  </w:pPr>
                  <w:r>
                    <w:rPr>
                      <w:rFonts w:hint="eastAsia"/>
                      <w:szCs w:val="21"/>
                    </w:rPr>
                    <w:t>点位</w:t>
                  </w:r>
                </w:p>
                <w:p>
                  <w:pPr>
                    <w:jc w:val="left"/>
                    <w:rPr>
                      <w:szCs w:val="21"/>
                    </w:rPr>
                  </w:pPr>
                  <w:r>
                    <w:rPr>
                      <w:rFonts w:hint="eastAsia"/>
                      <w:szCs w:val="21"/>
                    </w:rPr>
                    <w:t>监测时间</w:t>
                  </w:r>
                </w:p>
                <w:p>
                  <w:pPr>
                    <w:rPr>
                      <w:szCs w:val="21"/>
                    </w:rPr>
                  </w:pPr>
                </w:p>
              </w:tc>
              <w:tc>
                <w:tcPr>
                  <w:tcW w:w="1169" w:type="dxa"/>
                  <w:vAlign w:val="center"/>
                </w:tcPr>
                <w:p>
                  <w:pPr>
                    <w:jc w:val="center"/>
                    <w:rPr>
                      <w:szCs w:val="21"/>
                    </w:rPr>
                  </w:pPr>
                  <w:r>
                    <w:rPr>
                      <w:rFonts w:hint="eastAsia"/>
                      <w:szCs w:val="21"/>
                    </w:rPr>
                    <w:t>东厂界（N1）</w:t>
                  </w:r>
                </w:p>
                <w:p>
                  <w:pPr>
                    <w:jc w:val="center"/>
                    <w:rPr>
                      <w:szCs w:val="21"/>
                    </w:rPr>
                  </w:pPr>
                  <w:r>
                    <w:rPr>
                      <w:rFonts w:hint="eastAsia"/>
                      <w:szCs w:val="21"/>
                    </w:rPr>
                    <w:t>dB(A)</w:t>
                  </w:r>
                </w:p>
              </w:tc>
              <w:tc>
                <w:tcPr>
                  <w:tcW w:w="1263" w:type="dxa"/>
                  <w:vAlign w:val="center"/>
                </w:tcPr>
                <w:p>
                  <w:pPr>
                    <w:jc w:val="center"/>
                    <w:rPr>
                      <w:szCs w:val="21"/>
                    </w:rPr>
                  </w:pPr>
                  <w:r>
                    <w:rPr>
                      <w:rFonts w:hint="eastAsia"/>
                      <w:szCs w:val="21"/>
                    </w:rPr>
                    <w:t>南厂界</w:t>
                  </w:r>
                </w:p>
                <w:p>
                  <w:pPr>
                    <w:jc w:val="center"/>
                    <w:rPr>
                      <w:szCs w:val="21"/>
                    </w:rPr>
                  </w:pPr>
                  <w:r>
                    <w:rPr>
                      <w:rFonts w:hint="eastAsia"/>
                      <w:szCs w:val="21"/>
                    </w:rPr>
                    <w:t>（N</w:t>
                  </w:r>
                  <w:r>
                    <w:rPr>
                      <w:szCs w:val="21"/>
                    </w:rPr>
                    <w:t>2</w:t>
                  </w:r>
                  <w:r>
                    <w:rPr>
                      <w:rFonts w:hint="eastAsia"/>
                      <w:szCs w:val="21"/>
                    </w:rPr>
                    <w:t>）</w:t>
                  </w:r>
                </w:p>
                <w:p>
                  <w:pPr>
                    <w:jc w:val="center"/>
                    <w:rPr>
                      <w:szCs w:val="21"/>
                    </w:rPr>
                  </w:pPr>
                  <w:r>
                    <w:rPr>
                      <w:rFonts w:hint="eastAsia"/>
                      <w:szCs w:val="21"/>
                    </w:rPr>
                    <w:t>dB(A)</w:t>
                  </w:r>
                </w:p>
              </w:tc>
              <w:tc>
                <w:tcPr>
                  <w:tcW w:w="1140" w:type="dxa"/>
                  <w:vAlign w:val="center"/>
                </w:tcPr>
                <w:p>
                  <w:pPr>
                    <w:jc w:val="center"/>
                    <w:rPr>
                      <w:szCs w:val="21"/>
                    </w:rPr>
                  </w:pPr>
                  <w:r>
                    <w:rPr>
                      <w:rFonts w:hint="eastAsia"/>
                      <w:szCs w:val="21"/>
                    </w:rPr>
                    <w:t>西厂界（N</w:t>
                  </w:r>
                  <w:r>
                    <w:rPr>
                      <w:szCs w:val="21"/>
                    </w:rPr>
                    <w:t>3</w:t>
                  </w:r>
                  <w:r>
                    <w:rPr>
                      <w:rFonts w:hint="eastAsia"/>
                      <w:szCs w:val="21"/>
                    </w:rPr>
                    <w:t>）</w:t>
                  </w:r>
                </w:p>
                <w:p>
                  <w:pPr>
                    <w:jc w:val="center"/>
                    <w:rPr>
                      <w:szCs w:val="21"/>
                    </w:rPr>
                  </w:pPr>
                  <w:r>
                    <w:rPr>
                      <w:rFonts w:hint="eastAsia"/>
                      <w:szCs w:val="21"/>
                    </w:rPr>
                    <w:t>dB(A)</w:t>
                  </w:r>
                </w:p>
              </w:tc>
              <w:tc>
                <w:tcPr>
                  <w:tcW w:w="1140" w:type="dxa"/>
                  <w:vAlign w:val="center"/>
                </w:tcPr>
                <w:p>
                  <w:pPr>
                    <w:jc w:val="center"/>
                    <w:rPr>
                      <w:szCs w:val="21"/>
                    </w:rPr>
                  </w:pPr>
                  <w:r>
                    <w:rPr>
                      <w:rFonts w:hint="eastAsia"/>
                      <w:szCs w:val="21"/>
                    </w:rPr>
                    <w:t>北厂界（N</w:t>
                  </w:r>
                  <w:r>
                    <w:rPr>
                      <w:szCs w:val="21"/>
                    </w:rPr>
                    <w:t>4</w:t>
                  </w:r>
                  <w:r>
                    <w:rPr>
                      <w:rFonts w:hint="eastAsia"/>
                      <w:szCs w:val="21"/>
                    </w:rPr>
                    <w:t>）</w:t>
                  </w:r>
                </w:p>
                <w:p>
                  <w:pPr>
                    <w:jc w:val="center"/>
                    <w:rPr>
                      <w:szCs w:val="21"/>
                    </w:rPr>
                  </w:pPr>
                  <w:r>
                    <w:rPr>
                      <w:rFonts w:hint="eastAsia"/>
                      <w:szCs w:val="21"/>
                    </w:rPr>
                    <w:t>dB(A)</w:t>
                  </w:r>
                </w:p>
              </w:tc>
              <w:tc>
                <w:tcPr>
                  <w:tcW w:w="1161" w:type="dxa"/>
                  <w:vAlign w:val="center"/>
                </w:tcPr>
                <w:p>
                  <w:pPr>
                    <w:jc w:val="center"/>
                    <w:rPr>
                      <w:szCs w:val="21"/>
                    </w:rPr>
                  </w:pPr>
                  <w:r>
                    <w:rPr>
                      <w:rFonts w:hint="eastAsia"/>
                      <w:szCs w:val="21"/>
                    </w:rPr>
                    <w:t>1类区标准dB(A)</w:t>
                  </w:r>
                </w:p>
              </w:tc>
              <w:tc>
                <w:tcPr>
                  <w:tcW w:w="1000" w:type="dxa"/>
                  <w:vAlign w:val="center"/>
                </w:tcPr>
                <w:p>
                  <w:pPr>
                    <w:jc w:val="center"/>
                    <w:rPr>
                      <w:szCs w:val="21"/>
                    </w:rPr>
                  </w:pPr>
                  <w:r>
                    <w:rPr>
                      <w:rFonts w:hint="eastAsia"/>
                      <w:szCs w:val="21"/>
                    </w:rPr>
                    <w:t>4a类标准dBA</w:t>
                  </w:r>
                </w:p>
              </w:tc>
              <w:tc>
                <w:tcPr>
                  <w:tcW w:w="1000" w:type="dxa"/>
                  <w:vAlign w:val="center"/>
                </w:tcPr>
                <w:p>
                  <w:pPr>
                    <w:jc w:val="center"/>
                    <w:rPr>
                      <w:szCs w:val="21"/>
                    </w:rPr>
                  </w:pPr>
                  <w:r>
                    <w:rPr>
                      <w:rFonts w:hint="eastAsia"/>
                      <w:szCs w:val="21"/>
                    </w:rPr>
                    <w:t>评价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47" w:type="dxa"/>
                  <w:vMerge w:val="restart"/>
                  <w:tcBorders>
                    <w:top w:val="single" w:color="auto" w:sz="6" w:space="0"/>
                  </w:tcBorders>
                  <w:vAlign w:val="center"/>
                </w:tcPr>
                <w:p>
                  <w:pPr>
                    <w:jc w:val="center"/>
                    <w:rPr>
                      <w:szCs w:val="21"/>
                    </w:rPr>
                  </w:pPr>
                  <w:r>
                    <w:rPr>
                      <w:rFonts w:hint="eastAsia"/>
                      <w:szCs w:val="21"/>
                    </w:rPr>
                    <w:t>2021-12-23</w:t>
                  </w:r>
                </w:p>
              </w:tc>
              <w:tc>
                <w:tcPr>
                  <w:tcW w:w="918" w:type="dxa"/>
                  <w:tcBorders>
                    <w:top w:val="single" w:color="auto" w:sz="6" w:space="0"/>
                  </w:tcBorders>
                  <w:vAlign w:val="center"/>
                </w:tcPr>
                <w:p>
                  <w:pPr>
                    <w:jc w:val="center"/>
                    <w:rPr>
                      <w:szCs w:val="21"/>
                    </w:rPr>
                  </w:pPr>
                  <w:r>
                    <w:rPr>
                      <w:rFonts w:hint="eastAsia"/>
                      <w:szCs w:val="21"/>
                    </w:rPr>
                    <w:t>昼间</w:t>
                  </w:r>
                </w:p>
              </w:tc>
              <w:tc>
                <w:tcPr>
                  <w:tcW w:w="1169" w:type="dxa"/>
                  <w:vAlign w:val="center"/>
                </w:tcPr>
                <w:p>
                  <w:pPr>
                    <w:jc w:val="center"/>
                    <w:rPr>
                      <w:szCs w:val="21"/>
                    </w:rPr>
                  </w:pPr>
                  <w:r>
                    <w:rPr>
                      <w:rFonts w:hint="eastAsia"/>
                      <w:szCs w:val="21"/>
                    </w:rPr>
                    <w:t>53.7</w:t>
                  </w:r>
                </w:p>
              </w:tc>
              <w:tc>
                <w:tcPr>
                  <w:tcW w:w="1263" w:type="dxa"/>
                  <w:vAlign w:val="center"/>
                </w:tcPr>
                <w:p>
                  <w:pPr>
                    <w:jc w:val="center"/>
                    <w:rPr>
                      <w:szCs w:val="21"/>
                    </w:rPr>
                  </w:pPr>
                  <w:r>
                    <w:rPr>
                      <w:rFonts w:hint="eastAsia"/>
                      <w:szCs w:val="21"/>
                    </w:rPr>
                    <w:t>53.5</w:t>
                  </w:r>
                </w:p>
              </w:tc>
              <w:tc>
                <w:tcPr>
                  <w:tcW w:w="1140" w:type="dxa"/>
                  <w:vAlign w:val="center"/>
                </w:tcPr>
                <w:p>
                  <w:pPr>
                    <w:jc w:val="center"/>
                    <w:rPr>
                      <w:szCs w:val="21"/>
                    </w:rPr>
                  </w:pPr>
                  <w:r>
                    <w:rPr>
                      <w:rFonts w:hint="eastAsia"/>
                      <w:szCs w:val="21"/>
                    </w:rPr>
                    <w:t>52.9</w:t>
                  </w:r>
                </w:p>
              </w:tc>
              <w:tc>
                <w:tcPr>
                  <w:tcW w:w="1140" w:type="dxa"/>
                  <w:vAlign w:val="center"/>
                </w:tcPr>
                <w:p>
                  <w:pPr>
                    <w:jc w:val="center"/>
                    <w:rPr>
                      <w:szCs w:val="21"/>
                    </w:rPr>
                  </w:pPr>
                  <w:r>
                    <w:rPr>
                      <w:rFonts w:hint="eastAsia"/>
                      <w:szCs w:val="21"/>
                    </w:rPr>
                    <w:t>59.1</w:t>
                  </w:r>
                </w:p>
              </w:tc>
              <w:tc>
                <w:tcPr>
                  <w:tcW w:w="1161" w:type="dxa"/>
                  <w:vAlign w:val="center"/>
                </w:tcPr>
                <w:p>
                  <w:pPr>
                    <w:jc w:val="center"/>
                    <w:rPr>
                      <w:rFonts w:hint="default" w:eastAsia="宋体"/>
                      <w:color w:val="000000" w:themeColor="text1"/>
                      <w:szCs w:val="21"/>
                      <w:lang w:val="en-US" w:eastAsia="zh-CN"/>
                    </w:rPr>
                  </w:pPr>
                  <w:r>
                    <w:rPr>
                      <w:rFonts w:hint="eastAsia"/>
                      <w:color w:val="000000" w:themeColor="text1"/>
                      <w:szCs w:val="21"/>
                      <w:lang w:val="en-US" w:eastAsia="zh-CN"/>
                    </w:rPr>
                    <w:t>55</w:t>
                  </w:r>
                </w:p>
              </w:tc>
              <w:tc>
                <w:tcPr>
                  <w:tcW w:w="1000" w:type="dxa"/>
                  <w:vAlign w:val="center"/>
                </w:tcPr>
                <w:p>
                  <w:pPr>
                    <w:jc w:val="center"/>
                    <w:rPr>
                      <w:szCs w:val="21"/>
                    </w:rPr>
                  </w:pPr>
                  <w:r>
                    <w:rPr>
                      <w:rFonts w:hint="eastAsia"/>
                      <w:szCs w:val="21"/>
                    </w:rPr>
                    <w:t>70</w:t>
                  </w:r>
                </w:p>
              </w:tc>
              <w:tc>
                <w:tcPr>
                  <w:tcW w:w="1000" w:type="dxa"/>
                  <w:vAlign w:val="center"/>
                </w:tcPr>
                <w:p>
                  <w:pPr>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47" w:type="dxa"/>
                  <w:vMerge w:val="continue"/>
                  <w:vAlign w:val="center"/>
                </w:tcPr>
                <w:p>
                  <w:pPr>
                    <w:jc w:val="center"/>
                    <w:rPr>
                      <w:szCs w:val="21"/>
                    </w:rPr>
                  </w:pPr>
                </w:p>
              </w:tc>
              <w:tc>
                <w:tcPr>
                  <w:tcW w:w="918" w:type="dxa"/>
                  <w:vAlign w:val="center"/>
                </w:tcPr>
                <w:p>
                  <w:pPr>
                    <w:jc w:val="center"/>
                    <w:rPr>
                      <w:szCs w:val="21"/>
                    </w:rPr>
                  </w:pPr>
                  <w:r>
                    <w:rPr>
                      <w:rFonts w:hint="eastAsia"/>
                      <w:szCs w:val="21"/>
                    </w:rPr>
                    <w:t>夜间</w:t>
                  </w:r>
                </w:p>
              </w:tc>
              <w:tc>
                <w:tcPr>
                  <w:tcW w:w="1169" w:type="dxa"/>
                  <w:vAlign w:val="center"/>
                </w:tcPr>
                <w:p>
                  <w:pPr>
                    <w:jc w:val="center"/>
                    <w:rPr>
                      <w:szCs w:val="21"/>
                    </w:rPr>
                  </w:pPr>
                  <w:r>
                    <w:rPr>
                      <w:rFonts w:hint="eastAsia"/>
                      <w:szCs w:val="21"/>
                    </w:rPr>
                    <w:t>42.5</w:t>
                  </w:r>
                </w:p>
              </w:tc>
              <w:tc>
                <w:tcPr>
                  <w:tcW w:w="1263" w:type="dxa"/>
                  <w:vAlign w:val="center"/>
                </w:tcPr>
                <w:p>
                  <w:pPr>
                    <w:jc w:val="center"/>
                    <w:rPr>
                      <w:szCs w:val="21"/>
                    </w:rPr>
                  </w:pPr>
                  <w:r>
                    <w:rPr>
                      <w:rFonts w:hint="eastAsia"/>
                      <w:szCs w:val="21"/>
                    </w:rPr>
                    <w:t>41.4</w:t>
                  </w:r>
                </w:p>
              </w:tc>
              <w:tc>
                <w:tcPr>
                  <w:tcW w:w="1140" w:type="dxa"/>
                  <w:vAlign w:val="center"/>
                </w:tcPr>
                <w:p>
                  <w:pPr>
                    <w:jc w:val="center"/>
                    <w:rPr>
                      <w:szCs w:val="21"/>
                    </w:rPr>
                  </w:pPr>
                  <w:r>
                    <w:rPr>
                      <w:rFonts w:hint="eastAsia"/>
                      <w:szCs w:val="21"/>
                    </w:rPr>
                    <w:t>43.6</w:t>
                  </w:r>
                </w:p>
              </w:tc>
              <w:tc>
                <w:tcPr>
                  <w:tcW w:w="1140" w:type="dxa"/>
                  <w:vAlign w:val="center"/>
                </w:tcPr>
                <w:p>
                  <w:pPr>
                    <w:jc w:val="center"/>
                    <w:rPr>
                      <w:szCs w:val="21"/>
                    </w:rPr>
                  </w:pPr>
                  <w:r>
                    <w:rPr>
                      <w:rFonts w:hint="eastAsia"/>
                      <w:szCs w:val="21"/>
                    </w:rPr>
                    <w:t>52.4</w:t>
                  </w:r>
                </w:p>
              </w:tc>
              <w:tc>
                <w:tcPr>
                  <w:tcW w:w="1161" w:type="dxa"/>
                  <w:vAlign w:val="center"/>
                </w:tcPr>
                <w:p>
                  <w:pPr>
                    <w:jc w:val="center"/>
                    <w:rPr>
                      <w:rFonts w:hint="default" w:eastAsia="宋体"/>
                      <w:color w:val="000000" w:themeColor="text1"/>
                      <w:szCs w:val="21"/>
                      <w:lang w:val="en-US" w:eastAsia="zh-CN"/>
                    </w:rPr>
                  </w:pPr>
                  <w:r>
                    <w:rPr>
                      <w:rFonts w:hint="eastAsia"/>
                      <w:color w:val="000000" w:themeColor="text1"/>
                      <w:szCs w:val="21"/>
                      <w:lang w:val="en-US" w:eastAsia="zh-CN"/>
                    </w:rPr>
                    <w:t>45</w:t>
                  </w:r>
                </w:p>
              </w:tc>
              <w:tc>
                <w:tcPr>
                  <w:tcW w:w="1000" w:type="dxa"/>
                  <w:vAlign w:val="center"/>
                </w:tcPr>
                <w:p>
                  <w:pPr>
                    <w:jc w:val="center"/>
                    <w:rPr>
                      <w:szCs w:val="21"/>
                    </w:rPr>
                  </w:pPr>
                  <w:r>
                    <w:rPr>
                      <w:rFonts w:hint="eastAsia"/>
                      <w:szCs w:val="21"/>
                    </w:rPr>
                    <w:t>55</w:t>
                  </w:r>
                </w:p>
              </w:tc>
              <w:tc>
                <w:tcPr>
                  <w:tcW w:w="1000" w:type="dxa"/>
                  <w:vAlign w:val="center"/>
                </w:tcPr>
                <w:p>
                  <w:pPr>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47" w:type="dxa"/>
                  <w:vMerge w:val="restart"/>
                  <w:vAlign w:val="center"/>
                </w:tcPr>
                <w:p>
                  <w:pPr>
                    <w:jc w:val="center"/>
                    <w:rPr>
                      <w:szCs w:val="21"/>
                    </w:rPr>
                  </w:pPr>
                  <w:r>
                    <w:rPr>
                      <w:rFonts w:hint="eastAsia"/>
                      <w:szCs w:val="21"/>
                    </w:rPr>
                    <w:t>2021-12-24</w:t>
                  </w:r>
                </w:p>
              </w:tc>
              <w:tc>
                <w:tcPr>
                  <w:tcW w:w="918" w:type="dxa"/>
                  <w:vAlign w:val="center"/>
                </w:tcPr>
                <w:p>
                  <w:pPr>
                    <w:jc w:val="center"/>
                    <w:rPr>
                      <w:szCs w:val="21"/>
                    </w:rPr>
                  </w:pPr>
                  <w:r>
                    <w:rPr>
                      <w:rFonts w:hint="eastAsia"/>
                      <w:szCs w:val="21"/>
                    </w:rPr>
                    <w:t>昼间</w:t>
                  </w:r>
                </w:p>
              </w:tc>
              <w:tc>
                <w:tcPr>
                  <w:tcW w:w="1169" w:type="dxa"/>
                  <w:vAlign w:val="center"/>
                </w:tcPr>
                <w:p>
                  <w:pPr>
                    <w:jc w:val="center"/>
                    <w:rPr>
                      <w:szCs w:val="21"/>
                    </w:rPr>
                  </w:pPr>
                  <w:r>
                    <w:rPr>
                      <w:rFonts w:hint="eastAsia"/>
                      <w:szCs w:val="21"/>
                    </w:rPr>
                    <w:t>52.5</w:t>
                  </w:r>
                </w:p>
              </w:tc>
              <w:tc>
                <w:tcPr>
                  <w:tcW w:w="1263" w:type="dxa"/>
                  <w:vAlign w:val="center"/>
                </w:tcPr>
                <w:p>
                  <w:pPr>
                    <w:jc w:val="center"/>
                    <w:rPr>
                      <w:szCs w:val="21"/>
                    </w:rPr>
                  </w:pPr>
                  <w:r>
                    <w:rPr>
                      <w:rFonts w:hint="eastAsia"/>
                      <w:szCs w:val="21"/>
                    </w:rPr>
                    <w:t>51.9</w:t>
                  </w:r>
                </w:p>
              </w:tc>
              <w:tc>
                <w:tcPr>
                  <w:tcW w:w="1140" w:type="dxa"/>
                  <w:vAlign w:val="center"/>
                </w:tcPr>
                <w:p>
                  <w:pPr>
                    <w:jc w:val="center"/>
                    <w:rPr>
                      <w:szCs w:val="21"/>
                    </w:rPr>
                  </w:pPr>
                  <w:r>
                    <w:rPr>
                      <w:rFonts w:hint="eastAsia"/>
                      <w:szCs w:val="21"/>
                    </w:rPr>
                    <w:t>53.0</w:t>
                  </w:r>
                </w:p>
              </w:tc>
              <w:tc>
                <w:tcPr>
                  <w:tcW w:w="1140" w:type="dxa"/>
                  <w:vAlign w:val="center"/>
                </w:tcPr>
                <w:p>
                  <w:pPr>
                    <w:jc w:val="center"/>
                    <w:rPr>
                      <w:szCs w:val="21"/>
                    </w:rPr>
                  </w:pPr>
                  <w:r>
                    <w:rPr>
                      <w:rFonts w:hint="eastAsia"/>
                      <w:szCs w:val="21"/>
                    </w:rPr>
                    <w:t>58.8</w:t>
                  </w:r>
                </w:p>
              </w:tc>
              <w:tc>
                <w:tcPr>
                  <w:tcW w:w="1161" w:type="dxa"/>
                  <w:vAlign w:val="center"/>
                </w:tcPr>
                <w:p>
                  <w:pPr>
                    <w:jc w:val="center"/>
                    <w:rPr>
                      <w:rFonts w:hint="default" w:eastAsia="宋体"/>
                      <w:color w:val="000000" w:themeColor="text1"/>
                      <w:szCs w:val="21"/>
                      <w:lang w:val="en-US" w:eastAsia="zh-CN"/>
                    </w:rPr>
                  </w:pPr>
                  <w:r>
                    <w:rPr>
                      <w:rFonts w:hint="eastAsia"/>
                      <w:color w:val="000000" w:themeColor="text1"/>
                      <w:szCs w:val="21"/>
                      <w:lang w:val="en-US" w:eastAsia="zh-CN"/>
                    </w:rPr>
                    <w:t>55</w:t>
                  </w:r>
                </w:p>
              </w:tc>
              <w:tc>
                <w:tcPr>
                  <w:tcW w:w="1000" w:type="dxa"/>
                  <w:vAlign w:val="center"/>
                </w:tcPr>
                <w:p>
                  <w:pPr>
                    <w:jc w:val="center"/>
                    <w:rPr>
                      <w:szCs w:val="21"/>
                    </w:rPr>
                  </w:pPr>
                  <w:r>
                    <w:rPr>
                      <w:rFonts w:hint="eastAsia"/>
                      <w:szCs w:val="21"/>
                    </w:rPr>
                    <w:t>70</w:t>
                  </w:r>
                </w:p>
              </w:tc>
              <w:tc>
                <w:tcPr>
                  <w:tcW w:w="1000" w:type="dxa"/>
                  <w:vAlign w:val="center"/>
                </w:tcPr>
                <w:p>
                  <w:pPr>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47" w:type="dxa"/>
                  <w:vMerge w:val="continue"/>
                  <w:vAlign w:val="center"/>
                </w:tcPr>
                <w:p>
                  <w:pPr>
                    <w:jc w:val="center"/>
                    <w:rPr>
                      <w:szCs w:val="21"/>
                    </w:rPr>
                  </w:pPr>
                </w:p>
              </w:tc>
              <w:tc>
                <w:tcPr>
                  <w:tcW w:w="918" w:type="dxa"/>
                  <w:vAlign w:val="center"/>
                </w:tcPr>
                <w:p>
                  <w:pPr>
                    <w:jc w:val="center"/>
                    <w:rPr>
                      <w:szCs w:val="21"/>
                    </w:rPr>
                  </w:pPr>
                  <w:r>
                    <w:rPr>
                      <w:rFonts w:hint="eastAsia"/>
                      <w:szCs w:val="21"/>
                    </w:rPr>
                    <w:t>夜间</w:t>
                  </w:r>
                </w:p>
              </w:tc>
              <w:tc>
                <w:tcPr>
                  <w:tcW w:w="1169" w:type="dxa"/>
                  <w:vAlign w:val="center"/>
                </w:tcPr>
                <w:p>
                  <w:pPr>
                    <w:jc w:val="center"/>
                    <w:rPr>
                      <w:szCs w:val="21"/>
                    </w:rPr>
                  </w:pPr>
                  <w:r>
                    <w:rPr>
                      <w:rFonts w:hint="eastAsia"/>
                      <w:szCs w:val="21"/>
                    </w:rPr>
                    <w:t>44.7</w:t>
                  </w:r>
                </w:p>
              </w:tc>
              <w:tc>
                <w:tcPr>
                  <w:tcW w:w="1263" w:type="dxa"/>
                  <w:vAlign w:val="center"/>
                </w:tcPr>
                <w:p>
                  <w:pPr>
                    <w:jc w:val="center"/>
                    <w:rPr>
                      <w:szCs w:val="21"/>
                    </w:rPr>
                  </w:pPr>
                  <w:r>
                    <w:rPr>
                      <w:rFonts w:hint="eastAsia"/>
                      <w:szCs w:val="21"/>
                    </w:rPr>
                    <w:t>42.8</w:t>
                  </w:r>
                </w:p>
              </w:tc>
              <w:tc>
                <w:tcPr>
                  <w:tcW w:w="1140" w:type="dxa"/>
                  <w:vAlign w:val="center"/>
                </w:tcPr>
                <w:p>
                  <w:pPr>
                    <w:jc w:val="center"/>
                    <w:rPr>
                      <w:szCs w:val="21"/>
                    </w:rPr>
                  </w:pPr>
                  <w:r>
                    <w:rPr>
                      <w:rFonts w:hint="eastAsia"/>
                      <w:szCs w:val="21"/>
                    </w:rPr>
                    <w:t>43.7</w:t>
                  </w:r>
                </w:p>
              </w:tc>
              <w:tc>
                <w:tcPr>
                  <w:tcW w:w="1140" w:type="dxa"/>
                  <w:vAlign w:val="center"/>
                </w:tcPr>
                <w:p>
                  <w:pPr>
                    <w:jc w:val="center"/>
                    <w:rPr>
                      <w:szCs w:val="21"/>
                    </w:rPr>
                  </w:pPr>
                  <w:r>
                    <w:rPr>
                      <w:rFonts w:hint="eastAsia"/>
                      <w:szCs w:val="21"/>
                    </w:rPr>
                    <w:t>51.9</w:t>
                  </w:r>
                </w:p>
              </w:tc>
              <w:tc>
                <w:tcPr>
                  <w:tcW w:w="1161" w:type="dxa"/>
                  <w:vAlign w:val="center"/>
                </w:tcPr>
                <w:p>
                  <w:pPr>
                    <w:jc w:val="center"/>
                    <w:rPr>
                      <w:rFonts w:hint="default" w:eastAsia="宋体"/>
                      <w:color w:val="000000" w:themeColor="text1"/>
                      <w:szCs w:val="21"/>
                      <w:lang w:val="en-US" w:eastAsia="zh-CN"/>
                    </w:rPr>
                  </w:pPr>
                  <w:r>
                    <w:rPr>
                      <w:rFonts w:hint="eastAsia"/>
                      <w:color w:val="000000" w:themeColor="text1"/>
                      <w:szCs w:val="21"/>
                      <w:lang w:val="en-US" w:eastAsia="zh-CN"/>
                    </w:rPr>
                    <w:t>45</w:t>
                  </w:r>
                </w:p>
              </w:tc>
              <w:tc>
                <w:tcPr>
                  <w:tcW w:w="1000" w:type="dxa"/>
                  <w:vAlign w:val="center"/>
                </w:tcPr>
                <w:p>
                  <w:pPr>
                    <w:jc w:val="center"/>
                    <w:rPr>
                      <w:szCs w:val="21"/>
                    </w:rPr>
                  </w:pPr>
                  <w:r>
                    <w:rPr>
                      <w:rFonts w:hint="eastAsia"/>
                      <w:szCs w:val="21"/>
                    </w:rPr>
                    <w:t>55</w:t>
                  </w:r>
                </w:p>
              </w:tc>
              <w:tc>
                <w:tcPr>
                  <w:tcW w:w="1000" w:type="dxa"/>
                  <w:vAlign w:val="center"/>
                </w:tcPr>
                <w:p>
                  <w:pPr>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65" w:type="dxa"/>
                  <w:gridSpan w:val="2"/>
                  <w:shd w:val="clear" w:color="auto" w:fill="auto"/>
                  <w:vAlign w:val="center"/>
                </w:tcPr>
                <w:p>
                  <w:pPr>
                    <w:jc w:val="center"/>
                    <w:rPr>
                      <w:szCs w:val="21"/>
                    </w:rPr>
                  </w:pPr>
                  <w:r>
                    <w:rPr>
                      <w:rFonts w:hint="eastAsia"/>
                      <w:szCs w:val="21"/>
                    </w:rPr>
                    <w:t>气象参数</w:t>
                  </w:r>
                </w:p>
              </w:tc>
              <w:tc>
                <w:tcPr>
                  <w:tcW w:w="6873" w:type="dxa"/>
                  <w:gridSpan w:val="6"/>
                  <w:shd w:val="clear" w:color="auto" w:fill="auto"/>
                  <w:vAlign w:val="center"/>
                </w:tcPr>
                <w:p>
                  <w:pPr>
                    <w:jc w:val="left"/>
                    <w:rPr>
                      <w:szCs w:val="21"/>
                    </w:rPr>
                  </w:pPr>
                  <w:r>
                    <w:rPr>
                      <w:rFonts w:hint="eastAsia"/>
                      <w:szCs w:val="21"/>
                    </w:rPr>
                    <w:t>2021年12月23日</w:t>
                  </w:r>
                  <w:r>
                    <w:rPr>
                      <w:szCs w:val="21"/>
                    </w:rPr>
                    <w:t>昼间风向：</w:t>
                  </w:r>
                  <w:r>
                    <w:rPr>
                      <w:rFonts w:hint="eastAsia"/>
                      <w:szCs w:val="21"/>
                    </w:rPr>
                    <w:t>东</w:t>
                  </w:r>
                  <w:r>
                    <w:rPr>
                      <w:szCs w:val="21"/>
                    </w:rPr>
                    <w:t>；风速：</w:t>
                  </w:r>
                  <w:r>
                    <w:rPr>
                      <w:rFonts w:hint="eastAsia"/>
                      <w:szCs w:val="21"/>
                    </w:rPr>
                    <w:t>1.9</w:t>
                  </w:r>
                  <w:r>
                    <w:rPr>
                      <w:szCs w:val="21"/>
                    </w:rPr>
                    <w:t>m/s；天气：</w:t>
                  </w:r>
                  <w:r>
                    <w:rPr>
                      <w:rFonts w:hint="eastAsia"/>
                      <w:szCs w:val="21"/>
                    </w:rPr>
                    <w:t>晴；</w:t>
                  </w:r>
                </w:p>
                <w:p>
                  <w:pPr>
                    <w:jc w:val="left"/>
                    <w:rPr>
                      <w:szCs w:val="21"/>
                    </w:rPr>
                  </w:pPr>
                  <w:r>
                    <w:rPr>
                      <w:rFonts w:hint="eastAsia"/>
                      <w:szCs w:val="21"/>
                    </w:rPr>
                    <w:t>夜</w:t>
                  </w:r>
                  <w:r>
                    <w:rPr>
                      <w:szCs w:val="21"/>
                    </w:rPr>
                    <w:t>间风向：</w:t>
                  </w:r>
                  <w:r>
                    <w:rPr>
                      <w:rFonts w:hint="eastAsia"/>
                      <w:szCs w:val="21"/>
                    </w:rPr>
                    <w:t>东</w:t>
                  </w:r>
                  <w:r>
                    <w:rPr>
                      <w:szCs w:val="21"/>
                    </w:rPr>
                    <w:t>；风速：</w:t>
                  </w:r>
                  <w:r>
                    <w:rPr>
                      <w:rFonts w:hint="eastAsia"/>
                      <w:szCs w:val="21"/>
                    </w:rPr>
                    <w:t>1.7</w:t>
                  </w:r>
                  <w:r>
                    <w:rPr>
                      <w:szCs w:val="21"/>
                    </w:rPr>
                    <w:t>m/s；天气：</w:t>
                  </w:r>
                  <w:r>
                    <w:rPr>
                      <w:rFonts w:hint="eastAsia"/>
                      <w:szCs w:val="21"/>
                    </w:rPr>
                    <w:t>晴；</w:t>
                  </w:r>
                </w:p>
                <w:p>
                  <w:pPr>
                    <w:jc w:val="left"/>
                    <w:rPr>
                      <w:szCs w:val="21"/>
                    </w:rPr>
                  </w:pPr>
                  <w:r>
                    <w:rPr>
                      <w:rFonts w:hint="eastAsia"/>
                      <w:szCs w:val="21"/>
                    </w:rPr>
                    <w:t>2021年12月24日</w:t>
                  </w:r>
                  <w:r>
                    <w:rPr>
                      <w:szCs w:val="21"/>
                    </w:rPr>
                    <w:t>昼间风向：</w:t>
                  </w:r>
                  <w:r>
                    <w:rPr>
                      <w:rFonts w:hint="eastAsia"/>
                      <w:szCs w:val="21"/>
                    </w:rPr>
                    <w:t>东</w:t>
                  </w:r>
                  <w:r>
                    <w:rPr>
                      <w:szCs w:val="21"/>
                    </w:rPr>
                    <w:t>；风速：</w:t>
                  </w:r>
                  <w:r>
                    <w:rPr>
                      <w:rFonts w:hint="eastAsia"/>
                      <w:szCs w:val="21"/>
                    </w:rPr>
                    <w:t>2.2</w:t>
                  </w:r>
                  <w:r>
                    <w:rPr>
                      <w:szCs w:val="21"/>
                    </w:rPr>
                    <w:t>m/s；天气：</w:t>
                  </w:r>
                  <w:r>
                    <w:rPr>
                      <w:rFonts w:hint="eastAsia"/>
                      <w:szCs w:val="21"/>
                    </w:rPr>
                    <w:t>多云；夜</w:t>
                  </w:r>
                  <w:r>
                    <w:rPr>
                      <w:szCs w:val="21"/>
                    </w:rPr>
                    <w:t>间风向：</w:t>
                  </w:r>
                  <w:r>
                    <w:rPr>
                      <w:rFonts w:hint="eastAsia"/>
                      <w:szCs w:val="21"/>
                    </w:rPr>
                    <w:t>东</w:t>
                  </w:r>
                  <w:r>
                    <w:rPr>
                      <w:szCs w:val="21"/>
                    </w:rPr>
                    <w:t>；风速：</w:t>
                  </w:r>
                  <w:r>
                    <w:rPr>
                      <w:rFonts w:hint="eastAsia"/>
                      <w:szCs w:val="21"/>
                    </w:rPr>
                    <w:t>2.3</w:t>
                  </w:r>
                  <w:r>
                    <w:rPr>
                      <w:szCs w:val="21"/>
                    </w:rPr>
                    <w:t>m/s；天气：</w:t>
                  </w:r>
                  <w:r>
                    <w:rPr>
                      <w:rFonts w:hint="eastAsia"/>
                      <w:szCs w:val="21"/>
                    </w:rPr>
                    <w:t>多</w:t>
                  </w:r>
                </w:p>
                <w:p>
                  <w:pPr>
                    <w:jc w:val="left"/>
                    <w:rPr>
                      <w:szCs w:val="21"/>
                    </w:rPr>
                  </w:pPr>
                  <w:r>
                    <w:rPr>
                      <w:rFonts w:hint="eastAsia"/>
                      <w:szCs w:val="21"/>
                    </w:rPr>
                    <w:t>2021年12月23日测风塔10米高处昼间风速：3.31</w:t>
                  </w:r>
                  <w:r>
                    <w:rPr>
                      <w:szCs w:val="21"/>
                    </w:rPr>
                    <w:t>m/s</w:t>
                  </w:r>
                  <w:r>
                    <w:rPr>
                      <w:rFonts w:hint="eastAsia"/>
                      <w:szCs w:val="21"/>
                    </w:rPr>
                    <w:t>；夜间风速：4.01</w:t>
                  </w:r>
                  <w:r>
                    <w:rPr>
                      <w:szCs w:val="21"/>
                    </w:rPr>
                    <w:t>m/s</w:t>
                  </w:r>
                  <w:r>
                    <w:rPr>
                      <w:rFonts w:hint="eastAsia"/>
                      <w:szCs w:val="21"/>
                    </w:rPr>
                    <w:t>；</w:t>
                  </w:r>
                </w:p>
                <w:p>
                  <w:pPr>
                    <w:jc w:val="left"/>
                    <w:rPr>
                      <w:szCs w:val="21"/>
                    </w:rPr>
                  </w:pPr>
                  <w:r>
                    <w:rPr>
                      <w:rFonts w:hint="eastAsia"/>
                      <w:szCs w:val="21"/>
                    </w:rPr>
                    <w:t>2021年12月24日测风塔10米高处昼间风速：3.67</w:t>
                  </w:r>
                  <w:r>
                    <w:rPr>
                      <w:szCs w:val="21"/>
                    </w:rPr>
                    <w:t>m/s</w:t>
                  </w:r>
                  <w:r>
                    <w:rPr>
                      <w:rFonts w:hint="eastAsia"/>
                      <w:szCs w:val="21"/>
                    </w:rPr>
                    <w:t>；夜间风速：4.05</w:t>
                  </w:r>
                  <w:r>
                    <w:rPr>
                      <w:szCs w:val="21"/>
                    </w:rPr>
                    <w:t>m/s</w:t>
                  </w:r>
                  <w:r>
                    <w:rPr>
                      <w:rFonts w:hint="eastAsia"/>
                      <w:szCs w:val="21"/>
                    </w:rPr>
                    <w:t>。</w:t>
                  </w:r>
                </w:p>
                <w:p>
                  <w:pPr>
                    <w:jc w:val="left"/>
                    <w:rPr>
                      <w:szCs w:val="21"/>
                    </w:rPr>
                  </w:pPr>
                  <w:r>
                    <w:rPr>
                      <w:rFonts w:hint="eastAsia"/>
                      <w:szCs w:val="21"/>
                    </w:rPr>
                    <w:t>2021年12月23日轮毂高度昼间风速：3.40</w:t>
                  </w:r>
                  <w:r>
                    <w:rPr>
                      <w:szCs w:val="21"/>
                    </w:rPr>
                    <w:t>m/s</w:t>
                  </w:r>
                  <w:r>
                    <w:rPr>
                      <w:rFonts w:hint="eastAsia"/>
                      <w:szCs w:val="21"/>
                    </w:rPr>
                    <w:t>；夜间风速：3.88</w:t>
                  </w:r>
                  <w:r>
                    <w:rPr>
                      <w:szCs w:val="21"/>
                    </w:rPr>
                    <w:t>m/s</w:t>
                  </w:r>
                  <w:r>
                    <w:rPr>
                      <w:rFonts w:hint="eastAsia"/>
                      <w:szCs w:val="21"/>
                    </w:rPr>
                    <w:t>。</w:t>
                  </w:r>
                </w:p>
                <w:p>
                  <w:pPr>
                    <w:jc w:val="left"/>
                    <w:rPr>
                      <w:szCs w:val="21"/>
                    </w:rPr>
                  </w:pPr>
                  <w:r>
                    <w:rPr>
                      <w:rFonts w:hint="eastAsia"/>
                      <w:szCs w:val="21"/>
                    </w:rPr>
                    <w:t>2021年12月24日轮毂高度昼间风速：4.07</w:t>
                  </w:r>
                  <w:r>
                    <w:rPr>
                      <w:szCs w:val="21"/>
                    </w:rPr>
                    <w:t>m/s</w:t>
                  </w:r>
                  <w:r>
                    <w:rPr>
                      <w:rFonts w:hint="eastAsia"/>
                      <w:szCs w:val="21"/>
                    </w:rPr>
                    <w:t>；夜间风速：4.28</w:t>
                  </w:r>
                  <w:r>
                    <w:rPr>
                      <w:szCs w:val="21"/>
                    </w:rPr>
                    <w:t>m/s</w:t>
                  </w:r>
                  <w:r>
                    <w:rPr>
                      <w:rFonts w:hint="eastAsia"/>
                      <w:szCs w:val="21"/>
                    </w:rPr>
                    <w:t>。</w:t>
                  </w:r>
                </w:p>
              </w:tc>
              <w:tc>
                <w:tcPr>
                  <w:tcW w:w="1000" w:type="dxa"/>
                  <w:shd w:val="clear" w:color="auto" w:fill="auto"/>
                  <w:vAlign w:val="center"/>
                </w:tcPr>
                <w:p>
                  <w:pPr>
                    <w:jc w:val="left"/>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65" w:type="dxa"/>
                  <w:gridSpan w:val="2"/>
                  <w:vAlign w:val="center"/>
                </w:tcPr>
                <w:p>
                  <w:pPr>
                    <w:jc w:val="center"/>
                    <w:rPr>
                      <w:szCs w:val="21"/>
                    </w:rPr>
                  </w:pPr>
                  <w:r>
                    <w:rPr>
                      <w:rFonts w:hint="eastAsia"/>
                      <w:szCs w:val="21"/>
                    </w:rPr>
                    <w:t>备注</w:t>
                  </w:r>
                </w:p>
              </w:tc>
              <w:tc>
                <w:tcPr>
                  <w:tcW w:w="6873" w:type="dxa"/>
                  <w:gridSpan w:val="6"/>
                  <w:vAlign w:val="center"/>
                </w:tcPr>
                <w:p>
                  <w:pPr>
                    <w:jc w:val="left"/>
                    <w:rPr>
                      <w:szCs w:val="21"/>
                    </w:rPr>
                  </w:pPr>
                  <w:r>
                    <w:rPr>
                      <w:rFonts w:hint="eastAsia"/>
                      <w:szCs w:val="21"/>
                    </w:rPr>
                    <w:t>验收监测期间，生产工况正常。项目东、西、南厂界执行（GB12348-2008）1类标准，北厂界执行（GB12348-2008）4a类标准。</w:t>
                  </w:r>
                </w:p>
              </w:tc>
              <w:tc>
                <w:tcPr>
                  <w:tcW w:w="1000" w:type="dxa"/>
                  <w:vAlign w:val="center"/>
                </w:tcPr>
                <w:p>
                  <w:pPr>
                    <w:jc w:val="left"/>
                    <w:rPr>
                      <w:szCs w:val="21"/>
                    </w:rPr>
                  </w:pPr>
                </w:p>
              </w:tc>
            </w:tr>
          </w:tbl>
          <w:p>
            <w:pPr>
              <w:rPr>
                <w:szCs w:val="21"/>
              </w:rPr>
            </w:pPr>
          </w:p>
          <w:p>
            <w:pPr>
              <w:pStyle w:val="2"/>
              <w:rPr>
                <w:szCs w:val="21"/>
              </w:rPr>
            </w:pPr>
            <w:r>
              <w:rPr>
                <w:rFonts w:hint="eastAsia"/>
                <w:szCs w:val="21"/>
              </w:rPr>
              <w:t>根据</w:t>
            </w:r>
            <w:r>
              <w:rPr>
                <w:szCs w:val="21"/>
              </w:rPr>
              <w:t>表</w:t>
            </w:r>
            <w:r>
              <w:rPr>
                <w:rFonts w:hint="eastAsia"/>
                <w:szCs w:val="21"/>
              </w:rPr>
              <w:t>8.7，</w:t>
            </w:r>
            <w:r>
              <w:rPr>
                <w:szCs w:val="21"/>
              </w:rPr>
              <w:t>监测结果表明，验收监测期间</w:t>
            </w:r>
            <w:r>
              <w:rPr>
                <w:rFonts w:hint="eastAsia"/>
                <w:szCs w:val="21"/>
              </w:rPr>
              <w:t>，运营期间生产工况正常。项目东、西、南厂界满足（GB12348-2008）1类标准，北厂界满</w:t>
            </w:r>
            <w:r>
              <w:rPr>
                <w:rFonts w:hint="eastAsia"/>
                <w:color w:val="auto"/>
                <w:szCs w:val="21"/>
              </w:rPr>
              <w:t>足（GB12348-2008）4a类标准。</w:t>
            </w:r>
          </w:p>
        </w:tc>
      </w:tr>
      <w:bookmarkEnd w:id="11"/>
    </w:tbl>
    <w:p>
      <w:pPr>
        <w:pStyle w:val="4"/>
        <w:tabs>
          <w:tab w:val="left" w:pos="7275"/>
        </w:tabs>
        <w:spacing w:beforeLines="50" w:afterLines="50" w:line="240" w:lineRule="auto"/>
        <w:ind w:left="-210" w:leftChars="-100"/>
        <w:rPr>
          <w:sz w:val="28"/>
          <w:szCs w:val="28"/>
        </w:rPr>
        <w:sectPr>
          <w:pgSz w:w="11906" w:h="16838"/>
          <w:pgMar w:top="1134" w:right="1134" w:bottom="1134" w:left="1134" w:header="851" w:footer="992" w:gutter="0"/>
          <w:cols w:space="720" w:num="1"/>
          <w:docGrid w:linePitch="312" w:charSpace="0"/>
        </w:sectPr>
      </w:pPr>
    </w:p>
    <w:p>
      <w:pPr>
        <w:spacing w:line="360" w:lineRule="auto"/>
        <w:outlineLvl w:val="0"/>
        <w:rPr>
          <w:rFonts w:ascii="宋体" w:hAnsi="宋体" w:cs="宋体"/>
          <w:b/>
          <w:bCs/>
          <w:sz w:val="28"/>
          <w:szCs w:val="28"/>
        </w:rPr>
      </w:pPr>
      <w:bookmarkStart w:id="12" w:name="_Toc16111"/>
      <w:bookmarkStart w:id="13" w:name="_Toc2147"/>
      <w:bookmarkStart w:id="14" w:name="_Toc295831047"/>
      <w:r>
        <w:rPr>
          <w:rFonts w:hint="eastAsia" w:ascii="宋体" w:hAnsi="宋体" w:cs="宋体"/>
          <w:b/>
          <w:bCs/>
          <w:spacing w:val="-4"/>
          <w:sz w:val="28"/>
          <w:szCs w:val="28"/>
        </w:rPr>
        <w:t>表</w:t>
      </w:r>
      <w:r>
        <w:rPr>
          <w:rFonts w:hint="eastAsia" w:ascii="宋体" w:hAnsi="宋体" w:cs="宋体"/>
          <w:b/>
          <w:bCs/>
          <w:spacing w:val="-47"/>
          <w:sz w:val="28"/>
          <w:szCs w:val="28"/>
        </w:rPr>
        <w:t>九</w:t>
      </w:r>
      <w:r>
        <w:rPr>
          <w:rFonts w:hint="eastAsia" w:ascii="宋体" w:hAnsi="宋体" w:cs="宋体"/>
          <w:b/>
          <w:bCs/>
          <w:spacing w:val="-47"/>
          <w:sz w:val="28"/>
          <w:szCs w:val="28"/>
          <w:lang w:val="en-US" w:eastAsia="zh-CN"/>
        </w:rPr>
        <w:t xml:space="preserve">    </w:t>
      </w:r>
      <w:r>
        <w:rPr>
          <w:rFonts w:hint="eastAsia" w:ascii="宋体" w:hAnsi="宋体" w:cs="宋体"/>
          <w:b/>
          <w:bCs/>
          <w:spacing w:val="-4"/>
          <w:sz w:val="28"/>
          <w:szCs w:val="28"/>
        </w:rPr>
        <w:t>环境保护措施执行情况</w:t>
      </w:r>
      <w:bookmarkEnd w:id="12"/>
    </w:p>
    <w:tbl>
      <w:tblPr>
        <w:tblStyle w:val="120"/>
        <w:tblW w:w="5003"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
        <w:gridCol w:w="1152"/>
        <w:gridCol w:w="2685"/>
        <w:gridCol w:w="2687"/>
        <w:gridCol w:w="26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587" w:type="dxa"/>
            <w:gridSpan w:val="2"/>
            <w:tcBorders>
              <w:tl2br w:val="single" w:color="000000" w:sz="2" w:space="0"/>
            </w:tcBorders>
            <w:vAlign w:val="center"/>
          </w:tcPr>
          <w:p>
            <w:pPr>
              <w:spacing w:before="132" w:line="186" w:lineRule="auto"/>
              <w:ind w:firstLine="1043"/>
              <w:jc w:val="center"/>
              <w:rPr>
                <w:rFonts w:ascii="宋体" w:hAnsi="宋体" w:cs="宋体"/>
                <w:szCs w:val="21"/>
              </w:rPr>
            </w:pPr>
            <w:r>
              <w:rPr>
                <w:rFonts w:ascii="宋体" w:hAnsi="宋体" w:cs="宋体"/>
                <w:spacing w:val="-3"/>
                <w:szCs w:val="21"/>
              </w:rPr>
              <w:t>项目</w:t>
            </w:r>
          </w:p>
          <w:p>
            <w:pPr>
              <w:spacing w:before="256" w:line="186" w:lineRule="auto"/>
              <w:ind w:firstLine="125"/>
              <w:jc w:val="center"/>
              <w:rPr>
                <w:rFonts w:ascii="宋体" w:hAnsi="宋体" w:cs="宋体"/>
                <w:szCs w:val="21"/>
              </w:rPr>
            </w:pPr>
            <w:r>
              <w:rPr>
                <w:rFonts w:ascii="宋体" w:hAnsi="宋体" w:cs="宋体"/>
                <w:spacing w:val="-4"/>
                <w:szCs w:val="21"/>
              </w:rPr>
              <w:t>阶段</w:t>
            </w:r>
          </w:p>
        </w:tc>
        <w:tc>
          <w:tcPr>
            <w:tcW w:w="2683" w:type="dxa"/>
            <w:vAlign w:val="center"/>
          </w:tcPr>
          <w:p>
            <w:pPr>
              <w:spacing w:before="132" w:line="468" w:lineRule="exact"/>
              <w:ind w:firstLine="172"/>
              <w:jc w:val="center"/>
              <w:rPr>
                <w:rFonts w:ascii="宋体" w:hAnsi="宋体" w:cs="宋体"/>
                <w:szCs w:val="21"/>
              </w:rPr>
            </w:pPr>
            <w:r>
              <w:rPr>
                <w:rFonts w:ascii="宋体" w:hAnsi="宋体" w:cs="宋体"/>
                <w:spacing w:val="-1"/>
                <w:position w:val="19"/>
                <w:szCs w:val="21"/>
              </w:rPr>
              <w:t>环境影响报告表及审批文</w:t>
            </w:r>
          </w:p>
          <w:p>
            <w:pPr>
              <w:spacing w:line="204" w:lineRule="auto"/>
              <w:ind w:firstLine="171"/>
              <w:jc w:val="center"/>
              <w:rPr>
                <w:rFonts w:ascii="宋体" w:hAnsi="宋体" w:cs="宋体"/>
                <w:szCs w:val="21"/>
              </w:rPr>
            </w:pPr>
            <w:r>
              <w:rPr>
                <w:rFonts w:ascii="宋体" w:hAnsi="宋体" w:cs="宋体"/>
                <w:spacing w:val="-1"/>
                <w:szCs w:val="21"/>
              </w:rPr>
              <w:t>件中要求的环境保护措施</w:t>
            </w:r>
          </w:p>
        </w:tc>
        <w:tc>
          <w:tcPr>
            <w:tcW w:w="2685" w:type="dxa"/>
            <w:vAlign w:val="center"/>
          </w:tcPr>
          <w:p>
            <w:pPr>
              <w:spacing w:line="263" w:lineRule="auto"/>
              <w:jc w:val="center"/>
              <w:rPr>
                <w:rFonts w:ascii="黑体"/>
                <w:szCs w:val="21"/>
              </w:rPr>
            </w:pPr>
          </w:p>
          <w:p>
            <w:pPr>
              <w:spacing w:before="68" w:line="186" w:lineRule="auto"/>
              <w:ind w:firstLine="173"/>
              <w:jc w:val="center"/>
              <w:rPr>
                <w:rFonts w:ascii="宋体" w:hAnsi="宋体" w:cs="宋体"/>
                <w:szCs w:val="21"/>
              </w:rPr>
            </w:pPr>
            <w:r>
              <w:rPr>
                <w:rFonts w:ascii="宋体" w:hAnsi="宋体" w:cs="宋体"/>
                <w:spacing w:val="-1"/>
                <w:szCs w:val="21"/>
              </w:rPr>
              <w:t>环境保护措施的落实情况</w:t>
            </w:r>
          </w:p>
        </w:tc>
        <w:tc>
          <w:tcPr>
            <w:tcW w:w="2689" w:type="dxa"/>
            <w:vAlign w:val="center"/>
          </w:tcPr>
          <w:p>
            <w:pPr>
              <w:spacing w:before="132" w:line="468" w:lineRule="exact"/>
              <w:ind w:firstLine="489"/>
              <w:jc w:val="center"/>
              <w:rPr>
                <w:rFonts w:ascii="宋体" w:hAnsi="宋体" w:cs="宋体"/>
                <w:szCs w:val="21"/>
              </w:rPr>
            </w:pPr>
            <w:r>
              <w:rPr>
                <w:rFonts w:ascii="宋体" w:hAnsi="宋体" w:cs="宋体"/>
                <w:spacing w:val="-1"/>
                <w:position w:val="19"/>
                <w:szCs w:val="21"/>
              </w:rPr>
              <w:t>措施的执行效果及</w:t>
            </w:r>
          </w:p>
          <w:p>
            <w:pPr>
              <w:spacing w:line="204" w:lineRule="auto"/>
              <w:ind w:firstLine="493"/>
              <w:jc w:val="center"/>
              <w:rPr>
                <w:rFonts w:ascii="宋体" w:hAnsi="宋体" w:cs="宋体"/>
                <w:szCs w:val="21"/>
              </w:rPr>
            </w:pPr>
            <w:r>
              <w:rPr>
                <w:rFonts w:ascii="宋体" w:hAnsi="宋体" w:cs="宋体"/>
                <w:spacing w:val="-1"/>
                <w:szCs w:val="21"/>
              </w:rPr>
              <w:t>未采取措施的原因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36" w:type="dxa"/>
            <w:vMerge w:val="restart"/>
            <w:tcBorders>
              <w:bottom w:val="nil"/>
            </w:tcBorders>
            <w:textDirection w:val="tbRlV"/>
            <w:vAlign w:val="center"/>
          </w:tcPr>
          <w:p>
            <w:pPr>
              <w:spacing w:before="105" w:line="180" w:lineRule="auto"/>
              <w:ind w:firstLine="3499"/>
              <w:jc w:val="center"/>
              <w:rPr>
                <w:rFonts w:ascii="宋体" w:hAnsi="宋体" w:cs="宋体"/>
                <w:szCs w:val="21"/>
              </w:rPr>
            </w:pPr>
            <w:r>
              <w:rPr>
                <w:rFonts w:ascii="宋体" w:hAnsi="宋体" w:cs="宋体"/>
                <w:spacing w:val="1"/>
                <w:szCs w:val="21"/>
              </w:rPr>
              <w:t>施工期</w:t>
            </w:r>
          </w:p>
        </w:tc>
        <w:tc>
          <w:tcPr>
            <w:tcW w:w="1151" w:type="dxa"/>
            <w:vAlign w:val="center"/>
          </w:tcPr>
          <w:p>
            <w:pPr>
              <w:spacing w:line="335" w:lineRule="auto"/>
              <w:jc w:val="center"/>
              <w:rPr>
                <w:rFonts w:ascii="黑体"/>
                <w:szCs w:val="21"/>
              </w:rPr>
            </w:pPr>
          </w:p>
          <w:p>
            <w:pPr>
              <w:spacing w:line="335" w:lineRule="auto"/>
              <w:jc w:val="center"/>
              <w:rPr>
                <w:rFonts w:ascii="黑体"/>
                <w:szCs w:val="21"/>
              </w:rPr>
            </w:pPr>
          </w:p>
          <w:p>
            <w:pPr>
              <w:spacing w:before="69" w:line="274" w:lineRule="auto"/>
              <w:ind w:left="358" w:right="145" w:hanging="207"/>
              <w:jc w:val="center"/>
              <w:rPr>
                <w:rFonts w:ascii="宋体" w:hAnsi="宋体" w:cs="宋体"/>
                <w:szCs w:val="21"/>
              </w:rPr>
            </w:pPr>
            <w:r>
              <w:rPr>
                <w:rFonts w:ascii="宋体" w:hAnsi="宋体" w:cs="宋体"/>
                <w:spacing w:val="-2"/>
                <w:szCs w:val="21"/>
              </w:rPr>
              <w:t>生态保护措施</w:t>
            </w:r>
          </w:p>
        </w:tc>
        <w:tc>
          <w:tcPr>
            <w:tcW w:w="2683" w:type="dxa"/>
            <w:vAlign w:val="center"/>
          </w:tcPr>
          <w:p>
            <w:pPr>
              <w:spacing w:line="395" w:lineRule="auto"/>
              <w:jc w:val="center"/>
              <w:rPr>
                <w:rFonts w:ascii="黑体"/>
                <w:szCs w:val="21"/>
              </w:rPr>
            </w:pPr>
          </w:p>
          <w:p>
            <w:pPr>
              <w:spacing w:before="68" w:line="186" w:lineRule="auto"/>
              <w:ind w:firstLine="173"/>
              <w:jc w:val="center"/>
              <w:rPr>
                <w:rFonts w:ascii="宋体" w:hAnsi="宋体" w:cs="宋体"/>
                <w:szCs w:val="21"/>
              </w:rPr>
            </w:pPr>
            <w:r>
              <w:rPr>
                <w:rFonts w:ascii="宋体" w:hAnsi="宋体" w:cs="宋体"/>
                <w:spacing w:val="-1"/>
                <w:szCs w:val="21"/>
              </w:rPr>
              <w:t>要做好植被保护和生态恢</w:t>
            </w:r>
          </w:p>
          <w:p>
            <w:pPr>
              <w:spacing w:before="100" w:line="186" w:lineRule="auto"/>
              <w:ind w:firstLine="118"/>
              <w:jc w:val="center"/>
              <w:rPr>
                <w:rFonts w:ascii="宋体" w:hAnsi="宋体" w:cs="宋体"/>
                <w:szCs w:val="21"/>
              </w:rPr>
            </w:pPr>
            <w:r>
              <w:rPr>
                <w:rFonts w:ascii="宋体" w:hAnsi="宋体" w:cs="宋体"/>
                <w:spacing w:val="-14"/>
                <w:szCs w:val="21"/>
              </w:rPr>
              <w:t>复工作，落实环评中的绿化</w:t>
            </w:r>
          </w:p>
          <w:p>
            <w:pPr>
              <w:spacing w:before="100" w:line="186" w:lineRule="auto"/>
              <w:ind w:firstLine="112"/>
              <w:jc w:val="center"/>
              <w:rPr>
                <w:rFonts w:ascii="宋体" w:hAnsi="宋体" w:cs="宋体"/>
                <w:szCs w:val="21"/>
              </w:rPr>
            </w:pPr>
            <w:r>
              <w:rPr>
                <w:rFonts w:ascii="宋体" w:hAnsi="宋体" w:cs="宋体"/>
                <w:spacing w:val="-14"/>
                <w:szCs w:val="21"/>
              </w:rPr>
              <w:t>措施，防止造成生态破坏和</w:t>
            </w:r>
          </w:p>
          <w:p>
            <w:pPr>
              <w:spacing w:before="100" w:line="186" w:lineRule="auto"/>
              <w:rPr>
                <w:rFonts w:ascii="宋体" w:hAnsi="宋体" w:cs="宋体"/>
                <w:szCs w:val="21"/>
              </w:rPr>
            </w:pPr>
            <w:r>
              <w:rPr>
                <w:rFonts w:ascii="宋体" w:hAnsi="宋体" w:cs="宋体"/>
                <w:spacing w:val="-2"/>
                <w:szCs w:val="21"/>
              </w:rPr>
              <w:t>水土流失</w:t>
            </w:r>
          </w:p>
        </w:tc>
        <w:tc>
          <w:tcPr>
            <w:tcW w:w="2685" w:type="dxa"/>
            <w:vAlign w:val="center"/>
          </w:tcPr>
          <w:p>
            <w:pPr>
              <w:spacing w:before="68" w:line="186" w:lineRule="auto"/>
              <w:ind w:firstLine="173"/>
              <w:jc w:val="center"/>
              <w:rPr>
                <w:rFonts w:ascii="宋体" w:hAnsi="宋体" w:cs="宋体"/>
                <w:spacing w:val="-1"/>
                <w:szCs w:val="21"/>
              </w:rPr>
            </w:pPr>
            <w:r>
              <w:rPr>
                <w:rFonts w:ascii="宋体" w:hAnsi="宋体" w:cs="宋体"/>
                <w:spacing w:val="-2"/>
                <w:szCs w:val="21"/>
              </w:rPr>
              <w:t>（</w:t>
            </w:r>
            <w:r>
              <w:rPr>
                <w:rFonts w:ascii="宋体" w:hAnsi="宋体" w:cs="宋体"/>
                <w:spacing w:val="-1"/>
                <w:szCs w:val="21"/>
              </w:rPr>
              <w:t>1）施工完毕后</w:t>
            </w:r>
            <w:r>
              <w:rPr>
                <w:rFonts w:ascii="宋体" w:hAnsi="宋体" w:cs="宋体"/>
                <w:b w:val="0"/>
                <w:bCs w:val="0"/>
                <w:color w:val="000000" w:themeColor="text1"/>
                <w:spacing w:val="-1"/>
                <w:szCs w:val="21"/>
              </w:rPr>
              <w:t>及时</w:t>
            </w:r>
            <w:r>
              <w:rPr>
                <w:rFonts w:hint="eastAsia" w:ascii="宋体" w:hAnsi="宋体" w:cs="宋体"/>
                <w:b w:val="0"/>
                <w:bCs w:val="0"/>
                <w:color w:val="000000" w:themeColor="text1"/>
                <w:spacing w:val="-1"/>
                <w:szCs w:val="21"/>
                <w:lang w:val="en-US" w:eastAsia="zh-CN"/>
              </w:rPr>
              <w:t>进行</w:t>
            </w:r>
            <w:r>
              <w:rPr>
                <w:rFonts w:ascii="宋体" w:hAnsi="宋体" w:cs="宋体"/>
                <w:spacing w:val="-1"/>
                <w:szCs w:val="21"/>
              </w:rPr>
              <w:t xml:space="preserve">绿化，绿化率达25％。目前植被生长良好。    </w:t>
            </w:r>
          </w:p>
          <w:p>
            <w:pPr>
              <w:spacing w:before="68" w:line="186" w:lineRule="auto"/>
              <w:ind w:firstLine="173"/>
              <w:jc w:val="center"/>
              <w:rPr>
                <w:rFonts w:ascii="宋体" w:hAnsi="宋体" w:cs="宋体"/>
                <w:szCs w:val="21"/>
              </w:rPr>
            </w:pPr>
            <w:r>
              <w:rPr>
                <w:rFonts w:ascii="宋体" w:hAnsi="宋体" w:cs="宋体"/>
                <w:spacing w:val="-1"/>
                <w:szCs w:val="21"/>
              </w:rPr>
              <w:t>（2）开挖产生的土方就地平整， 无弃方， 按原地貌进 行了平整， 并进行了植被恢复。</w:t>
            </w:r>
          </w:p>
        </w:tc>
        <w:tc>
          <w:tcPr>
            <w:tcW w:w="2689" w:type="dxa"/>
            <w:vAlign w:val="center"/>
          </w:tcPr>
          <w:p>
            <w:pPr>
              <w:spacing w:line="395" w:lineRule="auto"/>
              <w:jc w:val="center"/>
              <w:rPr>
                <w:rFonts w:ascii="黑体"/>
                <w:szCs w:val="21"/>
              </w:rPr>
            </w:pPr>
          </w:p>
          <w:p>
            <w:pPr>
              <w:spacing w:before="68" w:line="186" w:lineRule="auto"/>
              <w:ind w:firstLine="115"/>
              <w:jc w:val="center"/>
              <w:rPr>
                <w:rFonts w:ascii="宋体" w:hAnsi="宋体" w:cs="宋体"/>
                <w:szCs w:val="21"/>
              </w:rPr>
            </w:pPr>
            <w:r>
              <w:rPr>
                <w:rFonts w:ascii="宋体" w:hAnsi="宋体" w:cs="宋体"/>
                <w:spacing w:val="-14"/>
                <w:szCs w:val="21"/>
              </w:rPr>
              <w:t>减缓了生态环境影响，地表</w:t>
            </w:r>
          </w:p>
          <w:p>
            <w:pPr>
              <w:spacing w:before="100" w:line="186" w:lineRule="auto"/>
              <w:ind w:firstLine="114"/>
              <w:jc w:val="center"/>
              <w:rPr>
                <w:rFonts w:ascii="宋体" w:hAnsi="宋体" w:cs="宋体"/>
                <w:szCs w:val="21"/>
              </w:rPr>
            </w:pPr>
            <w:r>
              <w:rPr>
                <w:rFonts w:ascii="宋体" w:hAnsi="宋体" w:cs="宋体"/>
                <w:spacing w:val="-13"/>
                <w:szCs w:val="21"/>
              </w:rPr>
              <w:t>及时进行了覆土和绿化，目</w:t>
            </w:r>
          </w:p>
          <w:p>
            <w:pPr>
              <w:spacing w:before="100" w:line="186" w:lineRule="auto"/>
              <w:ind w:firstLine="178"/>
              <w:jc w:val="center"/>
              <w:rPr>
                <w:rFonts w:ascii="宋体" w:hAnsi="宋体" w:cs="宋体"/>
                <w:szCs w:val="21"/>
              </w:rPr>
            </w:pPr>
            <w:r>
              <w:rPr>
                <w:rFonts w:ascii="宋体" w:hAnsi="宋体" w:cs="宋体"/>
                <w:spacing w:val="-1"/>
                <w:szCs w:val="21"/>
              </w:rPr>
              <w:t>前绿化带植物生长情况良</w:t>
            </w:r>
            <w:r>
              <w:rPr>
                <w:rFonts w:ascii="宋体" w:hAnsi="宋体" w:cs="宋体"/>
                <w:spacing w:val="-10"/>
                <w:szCs w:val="21"/>
              </w:rPr>
              <w:t>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436" w:type="dxa"/>
            <w:vMerge w:val="continue"/>
            <w:tcBorders>
              <w:top w:val="nil"/>
              <w:bottom w:val="nil"/>
            </w:tcBorders>
            <w:textDirection w:val="tbRlV"/>
            <w:vAlign w:val="center"/>
          </w:tcPr>
          <w:p>
            <w:pPr>
              <w:jc w:val="center"/>
              <w:rPr>
                <w:rFonts w:ascii="黑体"/>
                <w:szCs w:val="21"/>
              </w:rPr>
            </w:pPr>
          </w:p>
        </w:tc>
        <w:tc>
          <w:tcPr>
            <w:tcW w:w="1151" w:type="dxa"/>
            <w:vAlign w:val="center"/>
          </w:tcPr>
          <w:p>
            <w:pPr>
              <w:spacing w:line="335" w:lineRule="auto"/>
              <w:jc w:val="center"/>
              <w:rPr>
                <w:rFonts w:ascii="黑体"/>
                <w:szCs w:val="21"/>
              </w:rPr>
            </w:pPr>
          </w:p>
          <w:p>
            <w:pPr>
              <w:spacing w:line="335" w:lineRule="auto"/>
              <w:jc w:val="center"/>
              <w:rPr>
                <w:rFonts w:ascii="黑体"/>
                <w:szCs w:val="21"/>
              </w:rPr>
            </w:pPr>
          </w:p>
          <w:p>
            <w:pPr>
              <w:spacing w:before="69" w:line="186" w:lineRule="auto"/>
              <w:ind w:firstLine="368"/>
              <w:rPr>
                <w:rFonts w:ascii="宋体" w:hAnsi="宋体" w:cs="宋体"/>
                <w:szCs w:val="21"/>
              </w:rPr>
            </w:pPr>
            <w:r>
              <w:rPr>
                <w:rFonts w:ascii="宋体" w:hAnsi="宋体" w:cs="宋体"/>
                <w:spacing w:val="-4"/>
                <w:szCs w:val="21"/>
              </w:rPr>
              <w:t>噪声</w:t>
            </w:r>
          </w:p>
          <w:p>
            <w:pPr>
              <w:spacing w:before="100" w:line="186" w:lineRule="auto"/>
              <w:ind w:firstLine="149"/>
              <w:jc w:val="center"/>
              <w:rPr>
                <w:rFonts w:ascii="宋体" w:hAnsi="宋体" w:cs="宋体"/>
                <w:szCs w:val="21"/>
              </w:rPr>
            </w:pPr>
            <w:r>
              <w:rPr>
                <w:rFonts w:ascii="宋体" w:hAnsi="宋体" w:cs="宋体"/>
                <w:spacing w:val="-2"/>
                <w:szCs w:val="21"/>
              </w:rPr>
              <w:t>环境保护</w:t>
            </w:r>
          </w:p>
          <w:p>
            <w:pPr>
              <w:spacing w:before="100" w:line="186" w:lineRule="auto"/>
              <w:ind w:firstLine="358"/>
              <w:jc w:val="center"/>
              <w:rPr>
                <w:rFonts w:ascii="宋体" w:hAnsi="宋体" w:cs="宋体"/>
                <w:szCs w:val="21"/>
              </w:rPr>
            </w:pPr>
            <w:r>
              <w:rPr>
                <w:rFonts w:ascii="宋体" w:hAnsi="宋体" w:cs="宋体"/>
                <w:spacing w:val="-2"/>
                <w:szCs w:val="21"/>
              </w:rPr>
              <w:t>措施</w:t>
            </w:r>
          </w:p>
        </w:tc>
        <w:tc>
          <w:tcPr>
            <w:tcW w:w="2683" w:type="dxa"/>
            <w:vAlign w:val="center"/>
          </w:tcPr>
          <w:p>
            <w:pPr>
              <w:spacing w:before="68" w:line="279" w:lineRule="auto"/>
              <w:ind w:left="111" w:right="100"/>
              <w:jc w:val="center"/>
              <w:rPr>
                <w:rFonts w:ascii="宋体" w:hAnsi="宋体" w:cs="宋体"/>
                <w:szCs w:val="21"/>
              </w:rPr>
            </w:pPr>
            <w:r>
              <w:rPr>
                <w:rFonts w:ascii="宋体" w:hAnsi="宋体" w:cs="宋体"/>
                <w:spacing w:val="-8"/>
                <w:szCs w:val="21"/>
              </w:rPr>
              <w:t>施工期噪声执行《建筑施工</w:t>
            </w:r>
            <w:r>
              <w:rPr>
                <w:rFonts w:ascii="宋体" w:hAnsi="宋体" w:cs="宋体"/>
                <w:spacing w:val="-14"/>
                <w:szCs w:val="21"/>
              </w:rPr>
              <w:t>场界噪声限值》</w:t>
            </w:r>
            <w:r>
              <w:rPr>
                <w:rFonts w:eastAsia="Times New Roman"/>
                <w:spacing w:val="-2"/>
                <w:szCs w:val="21"/>
              </w:rPr>
              <w:t>(GB12523-90</w:t>
            </w:r>
            <w:r>
              <w:rPr>
                <w:rFonts w:hint="eastAsia"/>
                <w:spacing w:val="-2"/>
                <w:szCs w:val="21"/>
              </w:rPr>
              <w:t>）</w:t>
            </w:r>
            <w:r>
              <w:rPr>
                <w:rFonts w:ascii="宋体" w:hAnsi="宋体" w:cs="宋体"/>
                <w:spacing w:val="-2"/>
                <w:szCs w:val="21"/>
              </w:rPr>
              <w:t>相关标准。</w:t>
            </w:r>
          </w:p>
        </w:tc>
        <w:tc>
          <w:tcPr>
            <w:tcW w:w="2685" w:type="dxa"/>
            <w:vAlign w:val="center"/>
          </w:tcPr>
          <w:p>
            <w:pPr>
              <w:spacing w:before="51" w:line="186" w:lineRule="auto"/>
              <w:ind w:firstLine="112"/>
              <w:jc w:val="center"/>
              <w:rPr>
                <w:rFonts w:ascii="宋体" w:hAnsi="宋体" w:cs="宋体"/>
                <w:szCs w:val="21"/>
              </w:rPr>
            </w:pPr>
            <w:r>
              <w:rPr>
                <w:szCs w:val="21"/>
              </w:rPr>
              <w:pict>
                <v:shape id="_x0000_s1031" o:spid="_x0000_s1031" o:spt="202" type="#_x0000_t202" style="position:absolute;left:0pt;margin-left:57.6pt;margin-top:111pt;height:12.6pt;width:11.8pt;mso-position-horizontal-relative:page;mso-position-vertical-relative:page;z-index:251664384;mso-width-relative:page;mso-height-relative:page;" filled="f" stroked="f" coordsize="21600,21600">
                  <v:path/>
                  <v:fill on="f" focussize="0,0"/>
                  <v:stroke on="f" joinstyle="miter"/>
                  <v:imagedata o:title=""/>
                  <o:lock v:ext="edit"/>
                  <v:textbox inset="0mm,0mm,0mm,0mm">
                    <w:txbxContent>
                      <w:p>
                        <w:pPr>
                          <w:spacing w:before="19" w:line="186" w:lineRule="auto"/>
                          <w:ind w:firstLine="20"/>
                          <w:rPr>
                            <w:rFonts w:ascii="宋体" w:hAnsi="宋体" w:cs="宋体"/>
                            <w:szCs w:val="21"/>
                          </w:rPr>
                        </w:pPr>
                        <w:r>
                          <w:rPr>
                            <w:rFonts w:ascii="宋体" w:hAnsi="宋体" w:cs="宋体"/>
                            <w:szCs w:val="21"/>
                          </w:rPr>
                          <w:t>象</w:t>
                        </w:r>
                      </w:p>
                    </w:txbxContent>
                  </v:textbox>
                </v:shape>
              </w:pict>
            </w:r>
            <w:r>
              <w:rPr>
                <w:rFonts w:ascii="宋体" w:hAnsi="宋体" w:cs="宋体"/>
                <w:spacing w:val="-13"/>
                <w:szCs w:val="21"/>
              </w:rPr>
              <w:t>据调查，本工程尽量选用低</w:t>
            </w:r>
          </w:p>
          <w:p>
            <w:pPr>
              <w:spacing w:before="100" w:line="186" w:lineRule="auto"/>
              <w:ind w:firstLine="123"/>
              <w:jc w:val="center"/>
              <w:rPr>
                <w:rFonts w:ascii="宋体" w:hAnsi="宋体" w:cs="宋体"/>
                <w:szCs w:val="21"/>
              </w:rPr>
            </w:pPr>
            <w:r>
              <w:rPr>
                <w:rFonts w:ascii="宋体" w:hAnsi="宋体" w:cs="宋体"/>
                <w:spacing w:val="-14"/>
                <w:szCs w:val="21"/>
              </w:rPr>
              <w:t>噪声的施工机械，在施工期</w:t>
            </w:r>
          </w:p>
          <w:p>
            <w:pPr>
              <w:spacing w:before="100" w:line="186" w:lineRule="auto"/>
              <w:ind w:firstLine="190"/>
              <w:jc w:val="center"/>
              <w:rPr>
                <w:rFonts w:ascii="宋体" w:hAnsi="宋体" w:cs="宋体"/>
                <w:szCs w:val="21"/>
              </w:rPr>
            </w:pPr>
            <w:r>
              <w:rPr>
                <w:rFonts w:ascii="宋体" w:hAnsi="宋体" w:cs="宋体"/>
                <w:spacing w:val="-2"/>
                <w:szCs w:val="21"/>
              </w:rPr>
              <w:t>间混凝土搅拌安排在现场</w:t>
            </w:r>
          </w:p>
          <w:p>
            <w:pPr>
              <w:spacing w:before="100" w:line="186" w:lineRule="auto"/>
              <w:ind w:firstLine="112"/>
              <w:jc w:val="center"/>
              <w:rPr>
                <w:rFonts w:ascii="宋体" w:hAnsi="宋体" w:cs="宋体"/>
                <w:szCs w:val="21"/>
              </w:rPr>
            </w:pPr>
            <w:r>
              <w:rPr>
                <w:rFonts w:ascii="宋体" w:hAnsi="宋体" w:cs="宋体"/>
                <w:spacing w:val="-13"/>
                <w:szCs w:val="21"/>
              </w:rPr>
              <w:t>施工， 采用商品混凝土； 合</w:t>
            </w:r>
          </w:p>
          <w:p>
            <w:pPr>
              <w:spacing w:before="100" w:line="186" w:lineRule="auto"/>
              <w:ind w:firstLine="116"/>
              <w:jc w:val="center"/>
              <w:rPr>
                <w:rFonts w:ascii="宋体" w:hAnsi="宋体" w:cs="宋体"/>
                <w:szCs w:val="21"/>
              </w:rPr>
            </w:pPr>
            <w:r>
              <w:rPr>
                <w:rFonts w:ascii="宋体" w:hAnsi="宋体" w:cs="宋体"/>
                <w:spacing w:val="-9"/>
                <w:szCs w:val="21"/>
              </w:rPr>
              <w:t>理布局施工设备、安排施工</w:t>
            </w:r>
          </w:p>
          <w:p>
            <w:pPr>
              <w:spacing w:before="100" w:line="186" w:lineRule="auto"/>
              <w:ind w:firstLine="117"/>
              <w:jc w:val="center"/>
              <w:rPr>
                <w:rFonts w:ascii="宋体" w:hAnsi="宋体" w:cs="宋体"/>
                <w:szCs w:val="21"/>
              </w:rPr>
            </w:pPr>
            <w:r>
              <w:rPr>
                <w:rFonts w:ascii="宋体" w:hAnsi="宋体" w:cs="宋体"/>
                <w:spacing w:val="-14"/>
                <w:szCs w:val="21"/>
              </w:rPr>
              <w:t>活动时间，尽量避免夜间施</w:t>
            </w:r>
          </w:p>
          <w:p>
            <w:pPr>
              <w:spacing w:before="100" w:line="186" w:lineRule="auto"/>
              <w:ind w:firstLine="116"/>
              <w:jc w:val="center"/>
              <w:rPr>
                <w:rFonts w:ascii="宋体" w:hAnsi="宋体" w:cs="宋体"/>
                <w:szCs w:val="21"/>
              </w:rPr>
            </w:pPr>
            <w:r>
              <w:rPr>
                <w:rFonts w:ascii="宋体" w:hAnsi="宋体" w:cs="宋体"/>
                <w:spacing w:val="-13"/>
                <w:szCs w:val="21"/>
              </w:rPr>
              <w:t>工，减少了施工噪声扰民现</w:t>
            </w:r>
          </w:p>
          <w:p>
            <w:pPr>
              <w:spacing w:before="237" w:line="126" w:lineRule="exact"/>
              <w:ind w:firstLine="1351"/>
              <w:jc w:val="center"/>
              <w:rPr>
                <w:rFonts w:ascii="宋体" w:hAnsi="宋体" w:cs="宋体"/>
                <w:szCs w:val="21"/>
              </w:rPr>
            </w:pPr>
          </w:p>
        </w:tc>
        <w:tc>
          <w:tcPr>
            <w:tcW w:w="2689" w:type="dxa"/>
            <w:vAlign w:val="center"/>
          </w:tcPr>
          <w:p>
            <w:pPr>
              <w:spacing w:line="335" w:lineRule="auto"/>
              <w:jc w:val="center"/>
              <w:rPr>
                <w:rFonts w:ascii="黑体"/>
                <w:szCs w:val="21"/>
              </w:rPr>
            </w:pPr>
          </w:p>
          <w:p>
            <w:pPr>
              <w:spacing w:line="335" w:lineRule="auto"/>
              <w:jc w:val="center"/>
              <w:rPr>
                <w:rFonts w:ascii="黑体"/>
                <w:szCs w:val="21"/>
              </w:rPr>
            </w:pPr>
          </w:p>
          <w:p>
            <w:pPr>
              <w:spacing w:before="100" w:line="186" w:lineRule="auto"/>
              <w:ind w:firstLine="112"/>
              <w:jc w:val="center"/>
              <w:rPr>
                <w:rFonts w:ascii="宋体" w:hAnsi="宋体" w:cs="宋体"/>
                <w:spacing w:val="-13"/>
                <w:szCs w:val="21"/>
              </w:rPr>
            </w:pPr>
            <w:r>
              <w:rPr>
                <w:rFonts w:ascii="宋体" w:hAnsi="宋体" w:cs="宋体"/>
                <w:spacing w:val="-13"/>
                <w:szCs w:val="21"/>
              </w:rPr>
              <w:t>已落实，控制施工时间， 设</w:t>
            </w:r>
          </w:p>
          <w:p>
            <w:pPr>
              <w:spacing w:before="100" w:line="186" w:lineRule="auto"/>
              <w:ind w:firstLine="112"/>
              <w:jc w:val="center"/>
              <w:rPr>
                <w:rFonts w:ascii="宋体" w:hAnsi="宋体" w:cs="宋体"/>
                <w:szCs w:val="21"/>
              </w:rPr>
            </w:pPr>
            <w:r>
              <w:rPr>
                <w:rFonts w:ascii="宋体" w:hAnsi="宋体" w:cs="宋体"/>
                <w:spacing w:val="-13"/>
                <w:szCs w:val="21"/>
              </w:rPr>
              <w:t>备选用合理， 噪声对周边</w:t>
            </w:r>
            <w:r>
              <w:rPr>
                <w:rFonts w:ascii="宋体" w:hAnsi="宋体" w:cs="宋体"/>
                <w:spacing w:val="-15"/>
                <w:szCs w:val="21"/>
              </w:rPr>
              <w:t>环</w:t>
            </w:r>
            <w:r>
              <w:rPr>
                <w:rFonts w:ascii="宋体" w:hAnsi="宋体" w:cs="宋体"/>
                <w:spacing w:val="-1"/>
                <w:szCs w:val="21"/>
              </w:rPr>
              <w:t>境影响较小。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1" w:hRule="atLeast"/>
        </w:trPr>
        <w:tc>
          <w:tcPr>
            <w:tcW w:w="436" w:type="dxa"/>
            <w:vMerge w:val="continue"/>
            <w:tcBorders>
              <w:top w:val="nil"/>
              <w:bottom w:val="nil"/>
            </w:tcBorders>
            <w:textDirection w:val="tbRlV"/>
            <w:vAlign w:val="center"/>
          </w:tcPr>
          <w:p>
            <w:pPr>
              <w:jc w:val="center"/>
              <w:rPr>
                <w:rFonts w:ascii="黑体"/>
                <w:szCs w:val="21"/>
              </w:rPr>
            </w:pPr>
          </w:p>
        </w:tc>
        <w:tc>
          <w:tcPr>
            <w:tcW w:w="1151" w:type="dxa"/>
            <w:vAlign w:val="center"/>
          </w:tcPr>
          <w:p>
            <w:pPr>
              <w:spacing w:line="268" w:lineRule="auto"/>
              <w:jc w:val="center"/>
              <w:rPr>
                <w:rFonts w:ascii="黑体"/>
                <w:szCs w:val="21"/>
              </w:rPr>
            </w:pPr>
          </w:p>
          <w:p>
            <w:pPr>
              <w:spacing w:line="269" w:lineRule="auto"/>
              <w:jc w:val="center"/>
              <w:rPr>
                <w:rFonts w:ascii="黑体"/>
                <w:szCs w:val="21"/>
              </w:rPr>
            </w:pPr>
          </w:p>
          <w:p>
            <w:pPr>
              <w:spacing w:before="69" w:line="274" w:lineRule="auto"/>
              <w:ind w:left="358" w:right="145" w:hanging="206"/>
              <w:jc w:val="center"/>
              <w:rPr>
                <w:rFonts w:ascii="宋体" w:hAnsi="宋体" w:cs="宋体"/>
                <w:szCs w:val="21"/>
              </w:rPr>
            </w:pPr>
            <w:r>
              <w:rPr>
                <w:rFonts w:ascii="宋体" w:hAnsi="宋体" w:cs="宋体"/>
                <w:spacing w:val="-3"/>
                <w:szCs w:val="21"/>
              </w:rPr>
              <w:t>大气环境保护</w:t>
            </w:r>
            <w:r>
              <w:rPr>
                <w:rFonts w:ascii="宋体" w:hAnsi="宋体" w:cs="宋体"/>
                <w:spacing w:val="-2"/>
                <w:szCs w:val="21"/>
              </w:rPr>
              <w:t>措施</w:t>
            </w:r>
          </w:p>
        </w:tc>
        <w:tc>
          <w:tcPr>
            <w:tcW w:w="2683" w:type="dxa"/>
            <w:vAlign w:val="center"/>
          </w:tcPr>
          <w:p>
            <w:pPr>
              <w:spacing w:line="268" w:lineRule="auto"/>
              <w:jc w:val="center"/>
              <w:rPr>
                <w:rFonts w:ascii="黑体"/>
                <w:szCs w:val="21"/>
              </w:rPr>
            </w:pPr>
          </w:p>
          <w:p>
            <w:pPr>
              <w:spacing w:line="268" w:lineRule="auto"/>
              <w:jc w:val="center"/>
              <w:rPr>
                <w:rFonts w:ascii="黑体"/>
                <w:szCs w:val="21"/>
              </w:rPr>
            </w:pPr>
          </w:p>
          <w:p>
            <w:pPr>
              <w:spacing w:before="69" w:line="186" w:lineRule="auto"/>
              <w:ind w:firstLine="111"/>
              <w:jc w:val="center"/>
              <w:rPr>
                <w:rFonts w:ascii="宋体" w:hAnsi="宋体" w:cs="宋体"/>
                <w:szCs w:val="21"/>
              </w:rPr>
            </w:pPr>
            <w:r>
              <w:rPr>
                <w:rFonts w:ascii="宋体" w:hAnsi="宋体" w:cs="宋体"/>
                <w:spacing w:val="-3"/>
                <w:szCs w:val="21"/>
              </w:rPr>
              <w:t>对干燥的作业面适当喷水，</w:t>
            </w:r>
            <w:r>
              <w:rPr>
                <w:rFonts w:ascii="宋体" w:hAnsi="宋体" w:cs="宋体"/>
                <w:spacing w:val="-5"/>
                <w:szCs w:val="21"/>
              </w:rPr>
              <w:t>使作业面保持一定的湿度，</w:t>
            </w:r>
            <w:r>
              <w:rPr>
                <w:rFonts w:ascii="宋体" w:hAnsi="宋体" w:cs="宋体"/>
                <w:spacing w:val="-1"/>
                <w:szCs w:val="21"/>
              </w:rPr>
              <w:t>减少扬尘量。</w:t>
            </w:r>
          </w:p>
        </w:tc>
        <w:tc>
          <w:tcPr>
            <w:tcW w:w="2685" w:type="dxa"/>
            <w:vAlign w:val="center"/>
          </w:tcPr>
          <w:p>
            <w:pPr>
              <w:spacing w:before="100" w:line="186" w:lineRule="auto"/>
              <w:ind w:firstLine="123"/>
              <w:jc w:val="center"/>
              <w:rPr>
                <w:rFonts w:ascii="宋体" w:hAnsi="宋体" w:cs="宋体"/>
                <w:spacing w:val="-14"/>
                <w:szCs w:val="21"/>
              </w:rPr>
            </w:pPr>
            <w:r>
              <w:rPr>
                <w:rFonts w:ascii="宋体" w:hAnsi="宋体" w:cs="宋体"/>
                <w:spacing w:val="-14"/>
                <w:szCs w:val="21"/>
              </w:rPr>
              <w:t>据调查， 施工期间， 在干燥天气时， 施工单位对施工工地及车辆行驶的路面进行</w:t>
            </w:r>
          </w:p>
          <w:p>
            <w:pPr>
              <w:spacing w:before="100" w:line="186" w:lineRule="auto"/>
              <w:ind w:firstLine="123"/>
              <w:jc w:val="center"/>
              <w:rPr>
                <w:rFonts w:ascii="宋体" w:hAnsi="宋体" w:cs="宋体"/>
                <w:spacing w:val="-14"/>
                <w:szCs w:val="21"/>
              </w:rPr>
            </w:pPr>
            <w:r>
              <w:rPr>
                <w:rFonts w:ascii="宋体" w:hAnsi="宋体" w:cs="宋体"/>
                <w:spacing w:val="-14"/>
                <w:szCs w:val="21"/>
              </w:rPr>
              <w:t>了洒水；运输沙土等易起尘</w:t>
            </w:r>
          </w:p>
          <w:p>
            <w:pPr>
              <w:spacing w:before="100" w:line="186" w:lineRule="auto"/>
              <w:ind w:firstLine="123"/>
              <w:jc w:val="center"/>
              <w:rPr>
                <w:rFonts w:ascii="宋体" w:hAnsi="宋体" w:cs="宋体"/>
                <w:spacing w:val="-14"/>
                <w:szCs w:val="21"/>
              </w:rPr>
            </w:pPr>
            <w:r>
              <w:rPr>
                <w:rFonts w:ascii="宋体" w:hAnsi="宋体" w:cs="宋体"/>
                <w:spacing w:val="-14"/>
                <w:szCs w:val="21"/>
              </w:rPr>
              <w:t>的建筑材料时做到了加盖</w:t>
            </w:r>
          </w:p>
          <w:p>
            <w:pPr>
              <w:spacing w:before="100" w:line="186" w:lineRule="auto"/>
              <w:ind w:firstLine="123"/>
              <w:jc w:val="center"/>
              <w:rPr>
                <w:rFonts w:ascii="宋体" w:hAnsi="宋体" w:cs="宋体"/>
                <w:spacing w:val="-14"/>
                <w:szCs w:val="21"/>
              </w:rPr>
            </w:pPr>
            <w:r>
              <w:rPr>
                <w:rFonts w:hint="eastAsia" w:ascii="宋体" w:hAnsi="宋体" w:cs="宋体"/>
                <w:spacing w:val="-14"/>
                <w:szCs w:val="21"/>
              </w:rPr>
              <w:t>篷布</w:t>
            </w:r>
            <w:r>
              <w:rPr>
                <w:rFonts w:ascii="宋体" w:hAnsi="宋体" w:cs="宋体"/>
                <w:spacing w:val="-14"/>
                <w:szCs w:val="21"/>
              </w:rPr>
              <w:t>； 尽量避免了建材的露</w:t>
            </w:r>
          </w:p>
          <w:p>
            <w:pPr>
              <w:spacing w:before="100" w:line="186" w:lineRule="auto"/>
              <w:ind w:firstLine="123"/>
              <w:jc w:val="center"/>
              <w:rPr>
                <w:rFonts w:ascii="宋体" w:hAnsi="宋体" w:cs="宋体"/>
                <w:szCs w:val="21"/>
              </w:rPr>
            </w:pPr>
            <w:r>
              <w:rPr>
                <w:rFonts w:ascii="宋体" w:hAnsi="宋体" w:cs="宋体"/>
                <w:spacing w:val="-14"/>
                <w:szCs w:val="21"/>
              </w:rPr>
              <w:t>天堆放。</w:t>
            </w:r>
          </w:p>
        </w:tc>
        <w:tc>
          <w:tcPr>
            <w:tcW w:w="2689" w:type="dxa"/>
            <w:vAlign w:val="center"/>
          </w:tcPr>
          <w:p>
            <w:pPr>
              <w:spacing w:line="399" w:lineRule="auto"/>
              <w:jc w:val="center"/>
              <w:rPr>
                <w:rFonts w:ascii="黑体"/>
                <w:szCs w:val="21"/>
              </w:rPr>
            </w:pPr>
          </w:p>
          <w:p>
            <w:pPr>
              <w:spacing w:before="100" w:line="186" w:lineRule="auto"/>
              <w:ind w:firstLine="123"/>
              <w:jc w:val="center"/>
              <w:rPr>
                <w:rFonts w:ascii="宋体" w:hAnsi="宋体" w:cs="宋体"/>
                <w:spacing w:val="-14"/>
                <w:szCs w:val="21"/>
              </w:rPr>
            </w:pPr>
            <w:r>
              <w:rPr>
                <w:rFonts w:ascii="宋体" w:hAnsi="宋体" w:cs="宋体"/>
                <w:spacing w:val="-14"/>
                <w:szCs w:val="21"/>
              </w:rPr>
              <w:t>经调查， 项目施工期间， 对</w:t>
            </w:r>
          </w:p>
          <w:p>
            <w:pPr>
              <w:spacing w:before="100" w:line="186" w:lineRule="auto"/>
              <w:ind w:firstLine="123"/>
              <w:jc w:val="center"/>
              <w:rPr>
                <w:rFonts w:ascii="宋体" w:hAnsi="宋体" w:cs="宋体"/>
                <w:spacing w:val="-14"/>
                <w:szCs w:val="21"/>
              </w:rPr>
            </w:pPr>
            <w:r>
              <w:rPr>
                <w:rFonts w:ascii="宋体" w:hAnsi="宋体" w:cs="宋体"/>
                <w:spacing w:val="-14"/>
                <w:szCs w:val="21"/>
              </w:rPr>
              <w:t>施工工地及车辆行驶的路</w:t>
            </w:r>
          </w:p>
          <w:p>
            <w:pPr>
              <w:spacing w:before="100" w:line="186" w:lineRule="auto"/>
              <w:ind w:firstLine="123"/>
              <w:jc w:val="center"/>
              <w:rPr>
                <w:rFonts w:ascii="宋体" w:hAnsi="宋体" w:cs="宋体"/>
                <w:spacing w:val="-14"/>
                <w:szCs w:val="21"/>
              </w:rPr>
            </w:pPr>
            <w:r>
              <w:rPr>
                <w:rFonts w:ascii="宋体" w:hAnsi="宋体" w:cs="宋体"/>
                <w:spacing w:val="-14"/>
                <w:szCs w:val="21"/>
              </w:rPr>
              <w:t>面进行了洒水， 减少了扬尘</w:t>
            </w:r>
          </w:p>
          <w:p>
            <w:pPr>
              <w:spacing w:before="100" w:line="186" w:lineRule="auto"/>
              <w:ind w:firstLine="123"/>
              <w:jc w:val="center"/>
              <w:rPr>
                <w:rFonts w:ascii="宋体" w:hAnsi="宋体" w:cs="宋体"/>
                <w:szCs w:val="21"/>
              </w:rPr>
            </w:pPr>
            <w:r>
              <w:rPr>
                <w:rFonts w:ascii="宋体" w:hAnsi="宋体" w:cs="宋体"/>
                <w:spacing w:val="-14"/>
                <w:szCs w:val="21"/>
              </w:rPr>
              <w:t>对周边居民的影响。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36" w:type="dxa"/>
            <w:vMerge w:val="continue"/>
            <w:tcBorders>
              <w:top w:val="nil"/>
            </w:tcBorders>
            <w:textDirection w:val="tbRlV"/>
            <w:vAlign w:val="center"/>
          </w:tcPr>
          <w:p>
            <w:pPr>
              <w:jc w:val="center"/>
              <w:rPr>
                <w:rFonts w:ascii="黑体"/>
                <w:szCs w:val="21"/>
              </w:rPr>
            </w:pPr>
          </w:p>
        </w:tc>
        <w:tc>
          <w:tcPr>
            <w:tcW w:w="1151" w:type="dxa"/>
            <w:vAlign w:val="center"/>
          </w:tcPr>
          <w:p>
            <w:pPr>
              <w:spacing w:before="209" w:line="274" w:lineRule="auto"/>
              <w:ind w:left="253" w:right="145" w:hanging="101"/>
              <w:jc w:val="center"/>
              <w:rPr>
                <w:rFonts w:ascii="宋体" w:hAnsi="宋体" w:cs="宋体"/>
                <w:szCs w:val="21"/>
              </w:rPr>
            </w:pPr>
            <w:r>
              <w:rPr>
                <w:rFonts w:ascii="宋体" w:hAnsi="宋体" w:cs="宋体"/>
                <w:spacing w:val="-3"/>
                <w:szCs w:val="21"/>
              </w:rPr>
              <w:t>水环境保</w:t>
            </w:r>
            <w:r>
              <w:rPr>
                <w:rFonts w:ascii="宋体" w:hAnsi="宋体" w:cs="宋体"/>
                <w:spacing w:val="-2"/>
                <w:szCs w:val="21"/>
              </w:rPr>
              <w:t>护措施</w:t>
            </w:r>
          </w:p>
        </w:tc>
        <w:tc>
          <w:tcPr>
            <w:tcW w:w="2683" w:type="dxa"/>
            <w:vAlign w:val="center"/>
          </w:tcPr>
          <w:p>
            <w:pPr>
              <w:spacing w:line="296" w:lineRule="auto"/>
              <w:rPr>
                <w:rFonts w:ascii="黑体"/>
                <w:szCs w:val="21"/>
              </w:rPr>
            </w:pPr>
          </w:p>
          <w:p>
            <w:pPr>
              <w:spacing w:before="60" w:line="191" w:lineRule="auto"/>
              <w:ind w:firstLine="1290"/>
              <w:rPr>
                <w:rFonts w:eastAsia="Times New Roman"/>
                <w:szCs w:val="21"/>
              </w:rPr>
            </w:pPr>
            <w:r>
              <w:rPr>
                <w:rFonts w:eastAsia="Times New Roman"/>
                <w:szCs w:val="21"/>
              </w:rPr>
              <w:t>/</w:t>
            </w:r>
          </w:p>
        </w:tc>
        <w:tc>
          <w:tcPr>
            <w:tcW w:w="2685" w:type="dxa"/>
            <w:vAlign w:val="center"/>
          </w:tcPr>
          <w:p>
            <w:pPr>
              <w:spacing w:before="52" w:line="186" w:lineRule="auto"/>
              <w:ind w:firstLine="172"/>
              <w:jc w:val="center"/>
              <w:rPr>
                <w:rFonts w:ascii="宋体" w:hAnsi="宋体" w:cs="宋体"/>
                <w:szCs w:val="21"/>
              </w:rPr>
            </w:pPr>
            <w:r>
              <w:rPr>
                <w:rFonts w:ascii="宋体" w:hAnsi="宋体" w:cs="宋体"/>
                <w:spacing w:val="-1"/>
                <w:szCs w:val="21"/>
              </w:rPr>
              <w:t>施工人员生活污水经临时生活区设置的化粪池处理</w:t>
            </w:r>
            <w:r>
              <w:rPr>
                <w:rFonts w:ascii="宋体" w:hAnsi="宋体" w:cs="宋体"/>
                <w:spacing w:val="-3"/>
                <w:szCs w:val="21"/>
              </w:rPr>
              <w:t>后回用于农田灌溉。</w:t>
            </w:r>
          </w:p>
        </w:tc>
        <w:tc>
          <w:tcPr>
            <w:tcW w:w="2689" w:type="dxa"/>
            <w:vAlign w:val="center"/>
          </w:tcPr>
          <w:p>
            <w:pPr>
              <w:spacing w:line="296" w:lineRule="auto"/>
              <w:jc w:val="center"/>
              <w:rPr>
                <w:rFonts w:ascii="黑体"/>
                <w:szCs w:val="21"/>
              </w:rPr>
            </w:pPr>
          </w:p>
          <w:p>
            <w:pPr>
              <w:spacing w:before="60" w:line="191" w:lineRule="auto"/>
              <w:ind w:firstLine="1293"/>
              <w:rPr>
                <w:rFonts w:eastAsia="Times New Roman"/>
                <w:szCs w:val="21"/>
              </w:rPr>
            </w:pPr>
            <w:r>
              <w:rPr>
                <w:rFonts w:eastAsia="Times New Roman"/>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436" w:type="dxa"/>
            <w:vMerge w:val="restart"/>
            <w:tcBorders>
              <w:bottom w:val="nil"/>
            </w:tcBorders>
            <w:textDirection w:val="tbRlV"/>
            <w:vAlign w:val="center"/>
          </w:tcPr>
          <w:p>
            <w:pPr>
              <w:spacing w:before="105" w:line="180" w:lineRule="auto"/>
              <w:rPr>
                <w:rFonts w:ascii="宋体" w:hAnsi="宋体" w:cs="宋体"/>
                <w:szCs w:val="21"/>
              </w:rPr>
            </w:pPr>
            <w:r>
              <w:rPr>
                <w:rFonts w:hint="eastAsia" w:ascii="宋体" w:hAnsi="宋体" w:cs="宋体"/>
                <w:szCs w:val="21"/>
              </w:rPr>
              <w:t>运行期</w:t>
            </w:r>
          </w:p>
        </w:tc>
        <w:tc>
          <w:tcPr>
            <w:tcW w:w="1151" w:type="dxa"/>
            <w:vAlign w:val="center"/>
          </w:tcPr>
          <w:p>
            <w:pPr>
              <w:spacing w:line="398" w:lineRule="auto"/>
              <w:jc w:val="center"/>
              <w:rPr>
                <w:rFonts w:ascii="黑体"/>
                <w:szCs w:val="21"/>
              </w:rPr>
            </w:pPr>
          </w:p>
          <w:p>
            <w:pPr>
              <w:spacing w:before="68" w:line="186" w:lineRule="auto"/>
              <w:ind w:firstLine="368"/>
              <w:jc w:val="center"/>
              <w:rPr>
                <w:rFonts w:ascii="宋体" w:hAnsi="宋体" w:cs="宋体"/>
                <w:szCs w:val="21"/>
              </w:rPr>
            </w:pPr>
            <w:r>
              <w:rPr>
                <w:rFonts w:ascii="宋体" w:hAnsi="宋体" w:cs="宋体"/>
                <w:spacing w:val="-4"/>
                <w:szCs w:val="21"/>
              </w:rPr>
              <w:t>噪声</w:t>
            </w:r>
          </w:p>
          <w:p>
            <w:pPr>
              <w:spacing w:before="100" w:line="186" w:lineRule="auto"/>
              <w:ind w:firstLine="149"/>
              <w:jc w:val="center"/>
              <w:rPr>
                <w:rFonts w:ascii="宋体" w:hAnsi="宋体" w:cs="宋体"/>
                <w:szCs w:val="21"/>
              </w:rPr>
            </w:pPr>
            <w:r>
              <w:rPr>
                <w:rFonts w:ascii="宋体" w:hAnsi="宋体" w:cs="宋体"/>
                <w:spacing w:val="-2"/>
                <w:szCs w:val="21"/>
              </w:rPr>
              <w:t>环境保护</w:t>
            </w:r>
          </w:p>
          <w:p>
            <w:pPr>
              <w:spacing w:before="100" w:line="186" w:lineRule="auto"/>
              <w:ind w:firstLine="358"/>
              <w:jc w:val="center"/>
              <w:rPr>
                <w:rFonts w:ascii="宋体" w:hAnsi="宋体" w:cs="宋体"/>
                <w:szCs w:val="21"/>
              </w:rPr>
            </w:pPr>
            <w:r>
              <w:rPr>
                <w:rFonts w:ascii="宋体" w:hAnsi="宋体" w:cs="宋体"/>
                <w:spacing w:val="-2"/>
                <w:szCs w:val="21"/>
              </w:rPr>
              <w:t>措施</w:t>
            </w:r>
          </w:p>
        </w:tc>
        <w:tc>
          <w:tcPr>
            <w:tcW w:w="2683" w:type="dxa"/>
            <w:vAlign w:val="center"/>
          </w:tcPr>
          <w:p>
            <w:pPr>
              <w:spacing w:before="53" w:line="186" w:lineRule="auto"/>
              <w:ind w:firstLine="171"/>
              <w:jc w:val="center"/>
              <w:rPr>
                <w:rFonts w:ascii="宋体" w:hAnsi="宋体" w:cs="宋体"/>
                <w:szCs w:val="21"/>
              </w:rPr>
            </w:pPr>
            <w:r>
              <w:rPr>
                <w:rFonts w:ascii="宋体" w:hAnsi="宋体" w:cs="宋体"/>
                <w:spacing w:val="-1"/>
                <w:szCs w:val="21"/>
              </w:rPr>
              <w:t>对产生噪声的</w:t>
            </w:r>
            <w:r>
              <w:rPr>
                <w:rFonts w:hint="eastAsia" w:ascii="宋体" w:hAnsi="宋体" w:cs="宋体"/>
                <w:spacing w:val="-1"/>
                <w:szCs w:val="21"/>
              </w:rPr>
              <w:t>设备</w:t>
            </w:r>
            <w:r>
              <w:rPr>
                <w:rFonts w:ascii="宋体" w:hAnsi="宋体" w:cs="宋体"/>
                <w:spacing w:val="-1"/>
                <w:szCs w:val="21"/>
              </w:rPr>
              <w:t>需采取</w:t>
            </w:r>
            <w:r>
              <w:rPr>
                <w:rFonts w:ascii="宋体" w:hAnsi="宋体" w:cs="宋体"/>
                <w:spacing w:val="-8"/>
                <w:szCs w:val="21"/>
              </w:rPr>
              <w:t>合理布局、隔音、消声、减</w:t>
            </w:r>
            <w:r>
              <w:rPr>
                <w:rFonts w:ascii="宋体" w:hAnsi="宋体" w:cs="宋体"/>
                <w:spacing w:val="-15"/>
                <w:szCs w:val="21"/>
              </w:rPr>
              <w:t>振等措施，厂界噪声执行</w:t>
            </w:r>
          </w:p>
          <w:p>
            <w:pPr>
              <w:spacing w:before="100" w:line="186" w:lineRule="auto"/>
              <w:ind w:firstLine="113"/>
              <w:jc w:val="center"/>
              <w:rPr>
                <w:rFonts w:ascii="宋体" w:hAnsi="宋体" w:cs="宋体"/>
                <w:szCs w:val="21"/>
              </w:rPr>
            </w:pPr>
            <w:r>
              <w:rPr>
                <w:rFonts w:ascii="宋体" w:hAnsi="宋体" w:cs="宋体"/>
                <w:spacing w:val="-1"/>
                <w:szCs w:val="21"/>
              </w:rPr>
              <w:t>《工业企业厂界噪声标准》</w:t>
            </w:r>
            <w:r>
              <w:rPr>
                <w:rFonts w:eastAsia="Times New Roman"/>
                <w:spacing w:val="-1"/>
                <w:szCs w:val="21"/>
              </w:rPr>
              <w:t>(GB12348—2008)</w:t>
            </w:r>
            <w:r>
              <w:rPr>
                <w:rFonts w:hint="eastAsia"/>
                <w:spacing w:val="-1"/>
                <w:szCs w:val="21"/>
              </w:rPr>
              <w:t>1</w:t>
            </w:r>
            <w:r>
              <w:rPr>
                <w:rFonts w:ascii="宋体" w:hAnsi="宋体" w:cs="宋体"/>
                <w:spacing w:val="-1"/>
                <w:szCs w:val="21"/>
              </w:rPr>
              <w:t>类标</w:t>
            </w:r>
            <w:r>
              <w:rPr>
                <w:rFonts w:ascii="宋体" w:hAnsi="宋体" w:cs="宋体"/>
                <w:spacing w:val="-10"/>
                <w:szCs w:val="21"/>
              </w:rPr>
              <w:t>准。</w:t>
            </w:r>
          </w:p>
        </w:tc>
        <w:tc>
          <w:tcPr>
            <w:tcW w:w="2685" w:type="dxa"/>
            <w:vAlign w:val="center"/>
          </w:tcPr>
          <w:p>
            <w:pPr>
              <w:spacing w:before="211" w:line="274" w:lineRule="auto"/>
              <w:ind w:left="112" w:right="101"/>
              <w:jc w:val="center"/>
              <w:rPr>
                <w:rFonts w:ascii="宋体" w:hAnsi="宋体" w:cs="宋体"/>
                <w:szCs w:val="21"/>
              </w:rPr>
            </w:pPr>
            <w:r>
              <w:rPr>
                <w:rFonts w:ascii="宋体" w:hAnsi="宋体" w:cs="宋体"/>
                <w:spacing w:val="-13"/>
                <w:szCs w:val="21"/>
              </w:rPr>
              <w:t>据调查，工程在设备选型上</w:t>
            </w:r>
            <w:r>
              <w:rPr>
                <w:rFonts w:ascii="宋体" w:hAnsi="宋体" w:cs="宋体"/>
                <w:spacing w:val="-14"/>
                <w:szCs w:val="21"/>
              </w:rPr>
              <w:t>选择低噪声变压器，并且已</w:t>
            </w:r>
            <w:r>
              <w:rPr>
                <w:rFonts w:ascii="宋体" w:hAnsi="宋体" w:cs="宋体"/>
                <w:spacing w:val="10"/>
                <w:szCs w:val="21"/>
              </w:rPr>
              <w:t>制定相关计划对设备进行</w:t>
            </w:r>
            <w:r>
              <w:rPr>
                <w:rFonts w:ascii="宋体" w:hAnsi="宋体" w:cs="宋体"/>
                <w:spacing w:val="-16"/>
                <w:szCs w:val="21"/>
              </w:rPr>
              <w:t>定期维护保养，以免因电器</w:t>
            </w:r>
            <w:r>
              <w:rPr>
                <w:rFonts w:ascii="宋体" w:hAnsi="宋体" w:cs="宋体"/>
                <w:spacing w:val="-2"/>
                <w:szCs w:val="21"/>
              </w:rPr>
              <w:t>设备老化产生机械噪声。</w:t>
            </w:r>
          </w:p>
        </w:tc>
        <w:tc>
          <w:tcPr>
            <w:tcW w:w="2689" w:type="dxa"/>
            <w:vAlign w:val="center"/>
          </w:tcPr>
          <w:p>
            <w:pPr>
              <w:spacing w:before="209" w:line="186" w:lineRule="auto"/>
              <w:ind w:firstLine="115"/>
              <w:jc w:val="center"/>
              <w:rPr>
                <w:rFonts w:ascii="宋体" w:hAnsi="宋体" w:cs="宋体"/>
                <w:szCs w:val="21"/>
              </w:rPr>
            </w:pPr>
            <w:r>
              <w:rPr>
                <w:rFonts w:ascii="宋体" w:hAnsi="宋体" w:cs="宋体"/>
                <w:spacing w:val="-13"/>
                <w:szCs w:val="21"/>
              </w:rPr>
              <w:t>运营期：根据声环境监测结</w:t>
            </w:r>
          </w:p>
          <w:p>
            <w:pPr>
              <w:spacing w:before="101" w:line="186" w:lineRule="auto"/>
              <w:ind w:firstLine="119"/>
              <w:jc w:val="center"/>
              <w:rPr>
                <w:rFonts w:ascii="宋体" w:hAnsi="宋体" w:cs="宋体"/>
                <w:szCs w:val="21"/>
              </w:rPr>
            </w:pPr>
            <w:r>
              <w:rPr>
                <w:rFonts w:ascii="宋体" w:hAnsi="宋体" w:cs="宋体"/>
                <w:spacing w:val="-18"/>
                <w:szCs w:val="21"/>
              </w:rPr>
              <w:t>果，厂界噪声均符合工业</w:t>
            </w:r>
          </w:p>
          <w:p>
            <w:pPr>
              <w:spacing w:before="100" w:line="186" w:lineRule="auto"/>
              <w:ind w:firstLine="440"/>
              <w:rPr>
                <w:rFonts w:ascii="宋体" w:hAnsi="宋体" w:cs="宋体"/>
                <w:szCs w:val="21"/>
              </w:rPr>
            </w:pPr>
            <w:r>
              <w:rPr>
                <w:rFonts w:ascii="宋体" w:hAnsi="宋体" w:cs="宋体"/>
                <w:spacing w:val="-2"/>
                <w:szCs w:val="21"/>
              </w:rPr>
              <w:t>企业厂界噪声标准</w:t>
            </w:r>
          </w:p>
          <w:p>
            <w:pPr>
              <w:spacing w:before="100" w:line="186" w:lineRule="auto"/>
              <w:ind w:firstLine="157"/>
              <w:jc w:val="center"/>
              <w:rPr>
                <w:rFonts w:ascii="宋体" w:hAnsi="宋体" w:cs="宋体"/>
                <w:szCs w:val="21"/>
              </w:rPr>
            </w:pPr>
            <w:r>
              <w:rPr>
                <w:rFonts w:ascii="宋体" w:hAnsi="宋体" w:cs="宋体"/>
                <w:spacing w:val="-3"/>
                <w:szCs w:val="21"/>
              </w:rPr>
              <w:t>（</w:t>
            </w:r>
            <w:r>
              <w:rPr>
                <w:rFonts w:eastAsia="Times New Roman"/>
                <w:spacing w:val="-3"/>
                <w:szCs w:val="21"/>
              </w:rPr>
              <w:t>GB12348-90</w:t>
            </w:r>
            <w:r>
              <w:rPr>
                <w:rFonts w:ascii="宋体" w:hAnsi="宋体" w:cs="宋体"/>
                <w:spacing w:val="-3"/>
                <w:szCs w:val="21"/>
              </w:rPr>
              <w:t>）中</w:t>
            </w:r>
            <w:r>
              <w:rPr>
                <w:rFonts w:hint="eastAsia"/>
                <w:spacing w:val="-3"/>
                <w:szCs w:val="21"/>
              </w:rPr>
              <w:t>1</w:t>
            </w:r>
            <w:r>
              <w:rPr>
                <w:rFonts w:ascii="宋体" w:hAnsi="宋体" w:cs="宋体"/>
                <w:spacing w:val="-3"/>
                <w:szCs w:val="21"/>
              </w:rPr>
              <w:t>类标</w:t>
            </w:r>
            <w:r>
              <w:rPr>
                <w:rFonts w:ascii="宋体" w:hAnsi="宋体" w:cs="宋体"/>
                <w:szCs w:val="21"/>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436" w:type="dxa"/>
            <w:vMerge w:val="continue"/>
            <w:tcBorders>
              <w:top w:val="nil"/>
              <w:bottom w:val="nil"/>
            </w:tcBorders>
            <w:textDirection w:val="tbRlV"/>
            <w:vAlign w:val="center"/>
          </w:tcPr>
          <w:p>
            <w:pPr>
              <w:jc w:val="center"/>
              <w:rPr>
                <w:rFonts w:ascii="黑体"/>
                <w:szCs w:val="21"/>
              </w:rPr>
            </w:pPr>
          </w:p>
        </w:tc>
        <w:tc>
          <w:tcPr>
            <w:tcW w:w="1151" w:type="dxa"/>
            <w:vAlign w:val="center"/>
          </w:tcPr>
          <w:p>
            <w:pPr>
              <w:spacing w:line="268" w:lineRule="auto"/>
              <w:jc w:val="center"/>
              <w:rPr>
                <w:rFonts w:ascii="黑体"/>
                <w:szCs w:val="21"/>
              </w:rPr>
            </w:pPr>
          </w:p>
          <w:p>
            <w:pPr>
              <w:spacing w:line="268" w:lineRule="auto"/>
              <w:jc w:val="center"/>
              <w:rPr>
                <w:rFonts w:ascii="黑体"/>
                <w:szCs w:val="21"/>
              </w:rPr>
            </w:pPr>
          </w:p>
          <w:p>
            <w:pPr>
              <w:spacing w:before="68" w:line="186" w:lineRule="auto"/>
              <w:ind w:firstLine="152"/>
              <w:jc w:val="center"/>
              <w:rPr>
                <w:rFonts w:ascii="宋体" w:hAnsi="宋体" w:cs="宋体"/>
                <w:szCs w:val="21"/>
              </w:rPr>
            </w:pPr>
            <w:r>
              <w:rPr>
                <w:rFonts w:ascii="宋体" w:hAnsi="宋体" w:cs="宋体"/>
                <w:spacing w:val="-2"/>
                <w:szCs w:val="21"/>
              </w:rPr>
              <w:t>水环境保</w:t>
            </w:r>
          </w:p>
          <w:p>
            <w:pPr>
              <w:spacing w:before="100" w:line="186" w:lineRule="auto"/>
              <w:ind w:firstLine="359"/>
              <w:rPr>
                <w:rFonts w:ascii="宋体" w:hAnsi="宋体" w:cs="宋体"/>
                <w:szCs w:val="21"/>
              </w:rPr>
            </w:pPr>
            <w:r>
              <w:rPr>
                <w:rFonts w:ascii="宋体" w:hAnsi="宋体" w:cs="宋体"/>
                <w:spacing w:val="-2"/>
                <w:szCs w:val="21"/>
              </w:rPr>
              <w:t>护措</w:t>
            </w:r>
            <w:r>
              <w:rPr>
                <w:rFonts w:ascii="宋体" w:hAnsi="宋体" w:cs="宋体"/>
                <w:szCs w:val="21"/>
              </w:rPr>
              <w:t>施</w:t>
            </w:r>
          </w:p>
        </w:tc>
        <w:tc>
          <w:tcPr>
            <w:tcW w:w="2683" w:type="dxa"/>
            <w:vAlign w:val="center"/>
          </w:tcPr>
          <w:p>
            <w:pPr>
              <w:spacing w:before="100" w:line="186" w:lineRule="auto"/>
              <w:ind w:firstLine="174"/>
              <w:jc w:val="center"/>
              <w:rPr>
                <w:rFonts w:ascii="宋体" w:hAnsi="宋体" w:cs="宋体"/>
                <w:spacing w:val="-1"/>
                <w:szCs w:val="21"/>
              </w:rPr>
            </w:pPr>
            <w:r>
              <w:rPr>
                <w:rFonts w:ascii="宋体" w:hAnsi="宋体" w:cs="宋体"/>
                <w:spacing w:val="-1"/>
                <w:szCs w:val="21"/>
              </w:rPr>
              <w:t>按照“雨污分流，清污分流</w:t>
            </w:r>
          </w:p>
          <w:p>
            <w:pPr>
              <w:spacing w:before="100" w:line="186" w:lineRule="auto"/>
              <w:ind w:firstLine="174"/>
              <w:jc w:val="center"/>
              <w:rPr>
                <w:rFonts w:ascii="宋体" w:hAnsi="宋体" w:cs="宋体"/>
                <w:szCs w:val="21"/>
              </w:rPr>
            </w:pPr>
            <w:r>
              <w:rPr>
                <w:rFonts w:ascii="宋体" w:hAnsi="宋体" w:cs="宋体"/>
                <w:spacing w:val="-1"/>
                <w:szCs w:val="21"/>
              </w:rPr>
              <w:t>的要求， 建设厂区排</w:t>
            </w:r>
            <w:r>
              <w:rPr>
                <w:rFonts w:hint="eastAsia" w:ascii="宋体" w:hAnsi="宋体" w:cs="宋体"/>
                <w:spacing w:val="-1"/>
                <w:szCs w:val="21"/>
              </w:rPr>
              <w:t>水</w:t>
            </w:r>
            <w:r>
              <w:rPr>
                <w:rFonts w:ascii="宋体" w:hAnsi="宋体" w:cs="宋体"/>
                <w:spacing w:val="-1"/>
                <w:szCs w:val="21"/>
              </w:rPr>
              <w:t>系统， 各类废水要全部</w:t>
            </w:r>
            <w:r>
              <w:rPr>
                <w:rFonts w:ascii="宋体" w:hAnsi="宋体" w:cs="宋体"/>
                <w:spacing w:val="-14"/>
                <w:szCs w:val="21"/>
              </w:rPr>
              <w:t>经过一</w:t>
            </w:r>
          </w:p>
          <w:p>
            <w:pPr>
              <w:spacing w:before="100" w:line="186" w:lineRule="auto"/>
              <w:ind w:firstLine="172"/>
              <w:jc w:val="center"/>
              <w:rPr>
                <w:rFonts w:ascii="宋体" w:hAnsi="宋体" w:cs="宋体"/>
                <w:szCs w:val="21"/>
              </w:rPr>
            </w:pPr>
            <w:r>
              <w:rPr>
                <w:rFonts w:ascii="宋体" w:hAnsi="宋体" w:cs="宋体"/>
                <w:spacing w:val="-1"/>
                <w:szCs w:val="21"/>
              </w:rPr>
              <w:t>体化生活废水处理设施处</w:t>
            </w:r>
          </w:p>
          <w:p>
            <w:pPr>
              <w:spacing w:before="100" w:line="186" w:lineRule="auto"/>
              <w:ind w:firstLine="174"/>
              <w:jc w:val="center"/>
              <w:rPr>
                <w:rFonts w:ascii="宋体" w:hAnsi="宋体" w:cs="宋体"/>
                <w:szCs w:val="21"/>
              </w:rPr>
            </w:pPr>
            <w:r>
              <w:rPr>
                <w:rFonts w:ascii="宋体" w:hAnsi="宋体" w:cs="宋体"/>
                <w:spacing w:val="-1"/>
                <w:szCs w:val="21"/>
              </w:rPr>
              <w:t>理达绿化用水标准后回用</w:t>
            </w:r>
          </w:p>
          <w:p>
            <w:pPr>
              <w:spacing w:before="100" w:line="186" w:lineRule="auto"/>
              <w:ind w:firstLine="115"/>
              <w:jc w:val="center"/>
              <w:rPr>
                <w:rFonts w:ascii="宋体" w:hAnsi="宋体" w:cs="宋体"/>
                <w:szCs w:val="21"/>
              </w:rPr>
            </w:pPr>
            <w:r>
              <w:rPr>
                <w:rFonts w:ascii="宋体" w:hAnsi="宋体" w:cs="宋体"/>
                <w:spacing w:val="-14"/>
                <w:szCs w:val="21"/>
              </w:rPr>
              <w:t>于区域内绿化浇灌，严禁排</w:t>
            </w:r>
          </w:p>
          <w:p>
            <w:pPr>
              <w:spacing w:before="101" w:line="186" w:lineRule="auto"/>
              <w:ind w:firstLine="697"/>
              <w:rPr>
                <w:rFonts w:ascii="宋体" w:hAnsi="宋体" w:cs="宋体"/>
                <w:szCs w:val="21"/>
              </w:rPr>
            </w:pPr>
            <w:r>
              <w:rPr>
                <w:rFonts w:ascii="宋体" w:hAnsi="宋体" w:cs="宋体"/>
                <w:spacing w:val="-1"/>
                <w:szCs w:val="21"/>
              </w:rPr>
              <w:t>入周围水体。</w:t>
            </w:r>
          </w:p>
        </w:tc>
        <w:tc>
          <w:tcPr>
            <w:tcW w:w="2685" w:type="dxa"/>
            <w:vAlign w:val="center"/>
          </w:tcPr>
          <w:p>
            <w:pPr>
              <w:spacing w:line="399" w:lineRule="auto"/>
              <w:jc w:val="center"/>
              <w:rPr>
                <w:rFonts w:ascii="黑体"/>
                <w:szCs w:val="21"/>
              </w:rPr>
            </w:pPr>
          </w:p>
          <w:p>
            <w:pPr>
              <w:spacing w:before="68" w:line="186" w:lineRule="auto"/>
              <w:ind w:firstLine="112"/>
              <w:jc w:val="center"/>
              <w:rPr>
                <w:rFonts w:ascii="宋体" w:hAnsi="宋体" w:cs="宋体"/>
                <w:szCs w:val="21"/>
              </w:rPr>
            </w:pPr>
            <w:r>
              <w:rPr>
                <w:rFonts w:ascii="宋体" w:hAnsi="宋体" w:cs="宋体"/>
                <w:spacing w:val="-13"/>
                <w:szCs w:val="21"/>
              </w:rPr>
              <w:t>据调查，项目区不产生生活</w:t>
            </w:r>
          </w:p>
          <w:p>
            <w:pPr>
              <w:spacing w:before="100" w:line="186" w:lineRule="auto"/>
              <w:ind w:firstLine="115"/>
              <w:jc w:val="center"/>
              <w:rPr>
                <w:rFonts w:ascii="宋体" w:hAnsi="宋体" w:cs="宋体"/>
                <w:szCs w:val="21"/>
              </w:rPr>
            </w:pPr>
            <w:r>
              <w:rPr>
                <w:rFonts w:ascii="宋体" w:hAnsi="宋体" w:cs="宋体"/>
                <w:spacing w:val="-9"/>
                <w:szCs w:val="21"/>
              </w:rPr>
              <w:t>污水和生产废水。项目区雨</w:t>
            </w:r>
          </w:p>
          <w:p>
            <w:pPr>
              <w:spacing w:before="100" w:line="186" w:lineRule="auto"/>
              <w:ind w:firstLine="176"/>
              <w:jc w:val="center"/>
              <w:rPr>
                <w:rFonts w:ascii="宋体" w:hAnsi="宋体" w:cs="宋体"/>
                <w:szCs w:val="21"/>
              </w:rPr>
            </w:pPr>
            <w:r>
              <w:rPr>
                <w:rFonts w:ascii="宋体" w:hAnsi="宋体" w:cs="宋体"/>
                <w:spacing w:val="-1"/>
                <w:szCs w:val="21"/>
              </w:rPr>
              <w:t>水经排水渠汇集后排入附</w:t>
            </w:r>
          </w:p>
          <w:p>
            <w:pPr>
              <w:spacing w:before="100" w:line="186" w:lineRule="auto"/>
              <w:ind w:firstLine="907"/>
              <w:rPr>
                <w:rFonts w:ascii="宋体" w:hAnsi="宋体" w:cs="宋体"/>
                <w:szCs w:val="21"/>
              </w:rPr>
            </w:pPr>
            <w:r>
              <w:rPr>
                <w:rFonts w:ascii="宋体" w:hAnsi="宋体" w:cs="宋体"/>
                <w:spacing w:val="-1"/>
                <w:szCs w:val="21"/>
              </w:rPr>
              <w:t>近沟渠；</w:t>
            </w:r>
          </w:p>
        </w:tc>
        <w:tc>
          <w:tcPr>
            <w:tcW w:w="2689" w:type="dxa"/>
            <w:vAlign w:val="center"/>
          </w:tcPr>
          <w:p>
            <w:pPr>
              <w:spacing w:before="210" w:line="186" w:lineRule="auto"/>
              <w:ind w:firstLine="118"/>
              <w:jc w:val="center"/>
              <w:rPr>
                <w:rFonts w:ascii="宋体" w:hAnsi="宋体" w:cs="宋体"/>
                <w:szCs w:val="21"/>
              </w:rPr>
            </w:pPr>
            <w:r>
              <w:rPr>
                <w:rFonts w:ascii="宋体" w:hAnsi="宋体" w:cs="宋体"/>
                <w:spacing w:val="-14"/>
                <w:szCs w:val="21"/>
              </w:rPr>
              <w:t>项目区值守人员较少，平时</w:t>
            </w:r>
          </w:p>
          <w:p>
            <w:pPr>
              <w:spacing w:before="100" w:line="186" w:lineRule="auto"/>
              <w:ind w:firstLine="177"/>
              <w:jc w:val="center"/>
              <w:rPr>
                <w:rFonts w:ascii="宋体" w:hAnsi="宋体" w:cs="宋体"/>
                <w:szCs w:val="21"/>
              </w:rPr>
            </w:pPr>
            <w:r>
              <w:rPr>
                <w:rFonts w:ascii="宋体" w:hAnsi="宋体" w:cs="宋体"/>
                <w:spacing w:val="-1"/>
                <w:szCs w:val="21"/>
              </w:rPr>
              <w:t>生活于苏美达上电发电有</w:t>
            </w:r>
          </w:p>
          <w:p>
            <w:pPr>
              <w:spacing w:before="100" w:line="186" w:lineRule="auto"/>
              <w:ind w:firstLine="130"/>
              <w:jc w:val="center"/>
              <w:rPr>
                <w:rFonts w:ascii="宋体" w:hAnsi="宋体" w:cs="宋体"/>
                <w:szCs w:val="21"/>
              </w:rPr>
            </w:pPr>
            <w:r>
              <w:rPr>
                <w:rFonts w:ascii="宋体" w:hAnsi="宋体" w:cs="宋体"/>
                <w:spacing w:val="-10"/>
                <w:szCs w:val="21"/>
              </w:rPr>
              <w:t>限公司生活区内，生活污水</w:t>
            </w:r>
          </w:p>
          <w:p>
            <w:pPr>
              <w:spacing w:before="100" w:line="186" w:lineRule="auto"/>
              <w:ind w:firstLine="177"/>
              <w:jc w:val="center"/>
              <w:rPr>
                <w:rFonts w:ascii="宋体" w:hAnsi="宋体" w:cs="宋体"/>
                <w:szCs w:val="21"/>
              </w:rPr>
            </w:pPr>
            <w:r>
              <w:rPr>
                <w:rFonts w:ascii="宋体" w:hAnsi="宋体" w:cs="宋体"/>
                <w:spacing w:val="-1"/>
                <w:szCs w:val="21"/>
              </w:rPr>
              <w:t>经化粪池预处理后用于农</w:t>
            </w:r>
          </w:p>
          <w:p>
            <w:pPr>
              <w:spacing w:before="100" w:line="186" w:lineRule="auto"/>
              <w:ind w:firstLine="140"/>
              <w:jc w:val="center"/>
              <w:rPr>
                <w:rFonts w:ascii="宋体" w:hAnsi="宋体" w:cs="宋体"/>
                <w:szCs w:val="21"/>
              </w:rPr>
            </w:pPr>
            <w:r>
              <w:rPr>
                <w:rFonts w:ascii="宋体" w:hAnsi="宋体" w:cs="宋体"/>
                <w:spacing w:val="-19"/>
                <w:szCs w:val="21"/>
              </w:rPr>
              <w:t>田灌溉，不外排，对周围水</w:t>
            </w:r>
          </w:p>
          <w:p>
            <w:pPr>
              <w:spacing w:before="100" w:line="186" w:lineRule="auto"/>
              <w:ind w:firstLine="701"/>
              <w:rPr>
                <w:rFonts w:ascii="宋体" w:hAnsi="宋体" w:cs="宋体"/>
                <w:szCs w:val="21"/>
              </w:rPr>
            </w:pPr>
            <w:r>
              <w:rPr>
                <w:rFonts w:ascii="宋体" w:hAnsi="宋体" w:cs="宋体"/>
                <w:spacing w:val="-1"/>
                <w:szCs w:val="21"/>
              </w:rPr>
              <w:t>环境无影响。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36" w:type="dxa"/>
            <w:vMerge w:val="continue"/>
            <w:tcBorders>
              <w:top w:val="nil"/>
            </w:tcBorders>
            <w:textDirection w:val="tbRlV"/>
            <w:vAlign w:val="center"/>
          </w:tcPr>
          <w:p>
            <w:pPr>
              <w:jc w:val="center"/>
              <w:rPr>
                <w:rFonts w:ascii="黑体"/>
                <w:szCs w:val="21"/>
              </w:rPr>
            </w:pPr>
          </w:p>
        </w:tc>
        <w:tc>
          <w:tcPr>
            <w:tcW w:w="1151" w:type="dxa"/>
            <w:vAlign w:val="center"/>
          </w:tcPr>
          <w:p>
            <w:pPr>
              <w:spacing w:before="69" w:line="186" w:lineRule="auto"/>
              <w:ind w:firstLine="152"/>
              <w:jc w:val="center"/>
              <w:rPr>
                <w:rFonts w:ascii="宋体" w:hAnsi="宋体" w:cs="宋体"/>
                <w:color w:val="000000" w:themeColor="text1"/>
                <w:szCs w:val="21"/>
              </w:rPr>
            </w:pPr>
            <w:r>
              <w:rPr>
                <w:rFonts w:ascii="宋体" w:hAnsi="宋体" w:cs="宋体"/>
                <w:color w:val="000000" w:themeColor="text1"/>
                <w:spacing w:val="-2"/>
                <w:szCs w:val="21"/>
              </w:rPr>
              <w:t>大气环境</w:t>
            </w:r>
          </w:p>
        </w:tc>
        <w:tc>
          <w:tcPr>
            <w:tcW w:w="2683" w:type="dxa"/>
            <w:vAlign w:val="center"/>
          </w:tcPr>
          <w:p>
            <w:pPr>
              <w:spacing w:before="102" w:line="191" w:lineRule="auto"/>
              <w:ind w:firstLine="104"/>
              <w:jc w:val="center"/>
              <w:rPr>
                <w:rFonts w:eastAsia="Times New Roman"/>
                <w:color w:val="000000" w:themeColor="text1"/>
                <w:szCs w:val="21"/>
              </w:rPr>
            </w:pPr>
            <w:r>
              <w:rPr>
                <w:rFonts w:eastAsia="Times New Roman"/>
                <w:color w:val="000000" w:themeColor="text1"/>
                <w:szCs w:val="21"/>
              </w:rPr>
              <w:t>/</w:t>
            </w:r>
          </w:p>
        </w:tc>
        <w:tc>
          <w:tcPr>
            <w:tcW w:w="2685" w:type="dxa"/>
            <w:vAlign w:val="center"/>
          </w:tcPr>
          <w:p>
            <w:pPr>
              <w:spacing w:before="102" w:line="191" w:lineRule="auto"/>
              <w:ind w:firstLine="1291"/>
              <w:jc w:val="center"/>
              <w:rPr>
                <w:rFonts w:eastAsia="Times New Roman"/>
                <w:color w:val="000000" w:themeColor="text1"/>
                <w:szCs w:val="21"/>
              </w:rPr>
            </w:pPr>
            <w:r>
              <w:rPr>
                <w:rFonts w:eastAsia="Times New Roman"/>
                <w:color w:val="000000" w:themeColor="text1"/>
                <w:szCs w:val="21"/>
              </w:rPr>
              <w:t>/</w:t>
            </w:r>
          </w:p>
        </w:tc>
        <w:tc>
          <w:tcPr>
            <w:tcW w:w="2689" w:type="dxa"/>
            <w:vAlign w:val="center"/>
          </w:tcPr>
          <w:p>
            <w:pPr>
              <w:spacing w:before="69" w:line="186" w:lineRule="auto"/>
              <w:ind w:firstLine="117"/>
              <w:jc w:val="center"/>
              <w:rPr>
                <w:rFonts w:hint="default" w:ascii="宋体" w:hAnsi="宋体" w:eastAsia="宋体" w:cs="宋体"/>
                <w:color w:val="000000" w:themeColor="text1"/>
                <w:szCs w:val="21"/>
                <w:lang w:val="en-US" w:eastAsia="zh-CN"/>
              </w:rPr>
            </w:pPr>
            <w:r>
              <w:rPr>
                <w:rFonts w:ascii="宋体" w:hAnsi="宋体" w:cs="宋体"/>
                <w:color w:val="000000" w:themeColor="text1"/>
                <w:spacing w:val="-14"/>
                <w:szCs w:val="21"/>
              </w:rPr>
              <w:t>经调查，项目运营期内无</w:t>
            </w:r>
            <w:r>
              <w:rPr>
                <w:rFonts w:hint="eastAsia" w:ascii="宋体" w:hAnsi="宋体" w:cs="宋体"/>
                <w:color w:val="000000" w:themeColor="text1"/>
                <w:spacing w:val="-14"/>
                <w:szCs w:val="21"/>
                <w:lang w:val="en-US" w:eastAsia="zh-CN"/>
              </w:rPr>
              <w:t>较大影响</w:t>
            </w:r>
          </w:p>
        </w:tc>
      </w:tr>
    </w:tbl>
    <w:p>
      <w:pPr>
        <w:pStyle w:val="4"/>
        <w:tabs>
          <w:tab w:val="left" w:pos="7275"/>
        </w:tabs>
        <w:spacing w:beforeLines="50" w:afterLines="50" w:line="240" w:lineRule="auto"/>
        <w:rPr>
          <w:sz w:val="28"/>
          <w:szCs w:val="28"/>
        </w:rPr>
      </w:pPr>
      <w:bookmarkStart w:id="15" w:name="_Toc26321"/>
      <w:r>
        <w:rPr>
          <w:rFonts w:hint="eastAsia"/>
          <w:sz w:val="28"/>
          <w:szCs w:val="28"/>
        </w:rPr>
        <w:t>表十 环境影响调查</w:t>
      </w:r>
      <w:bookmarkEnd w:id="15"/>
    </w:p>
    <w:tbl>
      <w:tblPr>
        <w:tblStyle w:val="120"/>
        <w:tblW w:w="5003"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6"/>
        <w:gridCol w:w="1439"/>
        <w:gridCol w:w="7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436" w:type="dxa"/>
            <w:vMerge w:val="restart"/>
            <w:tcBorders>
              <w:bottom w:val="nil"/>
            </w:tcBorders>
            <w:textDirection w:val="tbRlV"/>
            <w:vAlign w:val="center"/>
          </w:tcPr>
          <w:p>
            <w:pPr>
              <w:spacing w:before="105" w:line="180" w:lineRule="auto"/>
              <w:ind w:firstLine="4422"/>
              <w:jc w:val="center"/>
              <w:rPr>
                <w:rFonts w:ascii="宋体" w:hAnsi="宋体" w:cs="宋体"/>
                <w:szCs w:val="21"/>
              </w:rPr>
            </w:pPr>
            <w:r>
              <w:rPr>
                <w:rFonts w:ascii="宋体" w:hAnsi="宋体" w:cs="宋体"/>
                <w:spacing w:val="1"/>
                <w:szCs w:val="21"/>
              </w:rPr>
              <w:t>施工期</w:t>
            </w:r>
          </w:p>
        </w:tc>
        <w:tc>
          <w:tcPr>
            <w:tcW w:w="1438" w:type="dxa"/>
            <w:vAlign w:val="center"/>
          </w:tcPr>
          <w:p>
            <w:pPr>
              <w:spacing w:line="273" w:lineRule="auto"/>
              <w:jc w:val="center"/>
              <w:rPr>
                <w:rFonts w:ascii="黑体"/>
                <w:szCs w:val="21"/>
              </w:rPr>
            </w:pPr>
          </w:p>
          <w:p>
            <w:pPr>
              <w:spacing w:before="69" w:line="186" w:lineRule="auto"/>
              <w:ind w:firstLine="293"/>
              <w:jc w:val="center"/>
              <w:rPr>
                <w:rFonts w:ascii="宋体" w:hAnsi="宋体" w:cs="宋体"/>
                <w:szCs w:val="21"/>
              </w:rPr>
            </w:pPr>
            <w:r>
              <w:rPr>
                <w:rFonts w:ascii="宋体" w:hAnsi="宋体" w:cs="宋体"/>
                <w:spacing w:val="-2"/>
                <w:szCs w:val="21"/>
              </w:rPr>
              <w:t>生态影响</w:t>
            </w:r>
          </w:p>
        </w:tc>
        <w:tc>
          <w:tcPr>
            <w:tcW w:w="7770" w:type="dxa"/>
            <w:vAlign w:val="center"/>
          </w:tcPr>
          <w:p>
            <w:pPr>
              <w:spacing w:before="207" w:line="480" w:lineRule="exact"/>
              <w:ind w:firstLine="531"/>
              <w:jc w:val="center"/>
              <w:rPr>
                <w:rFonts w:ascii="宋体" w:hAnsi="宋体" w:cs="宋体"/>
                <w:szCs w:val="21"/>
              </w:rPr>
            </w:pPr>
            <w:r>
              <w:rPr>
                <w:rFonts w:ascii="宋体" w:hAnsi="宋体" w:cs="宋体"/>
                <w:spacing w:val="-11"/>
                <w:position w:val="20"/>
                <w:szCs w:val="21"/>
              </w:rPr>
              <w:t>施工完毕后，施工道路沿线及时进行了恢复及绿化，做好水流流失防护工作，</w:t>
            </w:r>
          </w:p>
          <w:p>
            <w:pPr>
              <w:spacing w:line="204" w:lineRule="auto"/>
              <w:ind w:firstLine="129"/>
              <w:jc w:val="center"/>
              <w:rPr>
                <w:rFonts w:ascii="宋体" w:hAnsi="宋体" w:cs="宋体"/>
                <w:szCs w:val="21"/>
              </w:rPr>
            </w:pPr>
            <w:r>
              <w:rPr>
                <w:rFonts w:ascii="宋体" w:hAnsi="宋体" w:cs="宋体"/>
                <w:spacing w:val="-2"/>
                <w:szCs w:val="21"/>
              </w:rPr>
              <w:t>因此本项目对生态环境影响较小。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2" w:hRule="atLeast"/>
        </w:trPr>
        <w:tc>
          <w:tcPr>
            <w:tcW w:w="436" w:type="dxa"/>
            <w:vMerge w:val="continue"/>
            <w:tcBorders>
              <w:top w:val="nil"/>
              <w:bottom w:val="nil"/>
            </w:tcBorders>
            <w:textDirection w:val="tbRlV"/>
            <w:vAlign w:val="center"/>
          </w:tcPr>
          <w:p>
            <w:pPr>
              <w:jc w:val="center"/>
              <w:rPr>
                <w:rFonts w:ascii="黑体"/>
                <w:szCs w:val="21"/>
              </w:rPr>
            </w:pPr>
          </w:p>
        </w:tc>
        <w:tc>
          <w:tcPr>
            <w:tcW w:w="1438" w:type="dxa"/>
            <w:vAlign w:val="center"/>
          </w:tcPr>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line="248" w:lineRule="auto"/>
              <w:jc w:val="center"/>
              <w:rPr>
                <w:rFonts w:ascii="黑体"/>
                <w:szCs w:val="21"/>
              </w:rPr>
            </w:pPr>
          </w:p>
          <w:p>
            <w:pPr>
              <w:spacing w:before="68" w:line="186" w:lineRule="auto"/>
              <w:ind w:firstLine="291"/>
              <w:jc w:val="center"/>
              <w:rPr>
                <w:rFonts w:ascii="宋体" w:hAnsi="宋体" w:cs="宋体"/>
                <w:szCs w:val="21"/>
              </w:rPr>
            </w:pPr>
            <w:r>
              <w:rPr>
                <w:rFonts w:ascii="宋体" w:hAnsi="宋体" w:cs="宋体"/>
                <w:spacing w:val="-2"/>
                <w:szCs w:val="21"/>
              </w:rPr>
              <w:t>环境影响</w:t>
            </w:r>
          </w:p>
        </w:tc>
        <w:tc>
          <w:tcPr>
            <w:tcW w:w="7770" w:type="dxa"/>
            <w:vAlign w:val="center"/>
          </w:tcPr>
          <w:p>
            <w:pPr>
              <w:spacing w:line="360" w:lineRule="auto"/>
              <w:ind w:firstLine="416" w:firstLineChars="200"/>
              <w:rPr>
                <w:rFonts w:ascii="宋体" w:hAnsi="宋体" w:cs="宋体"/>
                <w:szCs w:val="21"/>
              </w:rPr>
            </w:pPr>
            <w:r>
              <w:rPr>
                <w:rFonts w:ascii="宋体" w:hAnsi="宋体" w:cs="宋体"/>
                <w:spacing w:val="-1"/>
                <w:szCs w:val="21"/>
              </w:rPr>
              <w:t>（</w:t>
            </w:r>
            <w:r>
              <w:rPr>
                <w:rFonts w:eastAsia="Times New Roman"/>
                <w:b/>
                <w:bCs/>
                <w:spacing w:val="-1"/>
                <w:szCs w:val="21"/>
              </w:rPr>
              <w:t>1</w:t>
            </w:r>
            <w:r>
              <w:rPr>
                <w:rFonts w:ascii="宋体" w:hAnsi="宋体" w:cs="宋体"/>
                <w:spacing w:val="-1"/>
                <w:szCs w:val="21"/>
              </w:rPr>
              <w:t>）环境空气影响</w:t>
            </w:r>
          </w:p>
          <w:p>
            <w:pPr>
              <w:spacing w:line="360" w:lineRule="auto"/>
              <w:ind w:firstLine="400" w:firstLineChars="200"/>
              <w:rPr>
                <w:rFonts w:ascii="宋体" w:hAnsi="宋体" w:cs="宋体"/>
                <w:szCs w:val="21"/>
              </w:rPr>
            </w:pPr>
            <w:r>
              <w:rPr>
                <w:rFonts w:ascii="宋体" w:hAnsi="宋体" w:cs="宋体"/>
                <w:spacing w:val="-5"/>
                <w:szCs w:val="21"/>
              </w:rPr>
              <w:t>施工期间，在干燥天气时，施工单位对施工工地及车辆行驶的路面进行了洒</w:t>
            </w:r>
            <w:r>
              <w:rPr>
                <w:rFonts w:ascii="宋体" w:hAnsi="宋体" w:cs="宋体"/>
                <w:szCs w:val="21"/>
              </w:rPr>
              <w:t>水；运输沙土等易起尘的建筑材料时做到了</w:t>
            </w:r>
            <w:r>
              <w:rPr>
                <w:rFonts w:hint="eastAsia" w:ascii="宋体" w:hAnsi="宋体" w:cs="宋体"/>
                <w:szCs w:val="21"/>
              </w:rPr>
              <w:t>加盖篷布</w:t>
            </w:r>
            <w:r>
              <w:rPr>
                <w:rFonts w:ascii="宋体" w:hAnsi="宋体" w:cs="宋体"/>
                <w:szCs w:val="21"/>
              </w:rPr>
              <w:t>。通过采取上述防治扬尘措</w:t>
            </w:r>
            <w:r>
              <w:rPr>
                <w:rFonts w:ascii="宋体" w:hAnsi="宋体" w:cs="宋体"/>
                <w:spacing w:val="-1"/>
                <w:szCs w:val="21"/>
              </w:rPr>
              <w:t>施，有效防止了工程施工对大气的影响。</w:t>
            </w:r>
          </w:p>
          <w:p>
            <w:pPr>
              <w:spacing w:line="360" w:lineRule="auto"/>
              <w:ind w:firstLine="408" w:firstLineChars="200"/>
              <w:rPr>
                <w:rFonts w:ascii="宋体" w:hAnsi="宋体" w:cs="宋体"/>
                <w:szCs w:val="21"/>
              </w:rPr>
            </w:pPr>
            <w:r>
              <w:rPr>
                <w:rFonts w:ascii="宋体" w:hAnsi="宋体" w:cs="宋体"/>
                <w:spacing w:val="-3"/>
                <w:szCs w:val="21"/>
              </w:rPr>
              <w:t>（</w:t>
            </w:r>
            <w:r>
              <w:rPr>
                <w:rFonts w:eastAsia="Times New Roman"/>
                <w:b/>
                <w:bCs/>
                <w:spacing w:val="-3"/>
                <w:szCs w:val="21"/>
              </w:rPr>
              <w:t>2</w:t>
            </w:r>
            <w:r>
              <w:rPr>
                <w:rFonts w:ascii="宋体" w:hAnsi="宋体" w:cs="宋体"/>
                <w:spacing w:val="-3"/>
                <w:szCs w:val="21"/>
              </w:rPr>
              <w:t>）</w:t>
            </w:r>
            <w:r>
              <w:rPr>
                <w:rFonts w:hint="eastAsia" w:ascii="宋体" w:hAnsi="宋体" w:cs="宋体"/>
                <w:spacing w:val="-3"/>
                <w:szCs w:val="21"/>
              </w:rPr>
              <w:t>水、气、固</w:t>
            </w:r>
            <w:r>
              <w:rPr>
                <w:rFonts w:ascii="宋体" w:hAnsi="宋体" w:cs="宋体"/>
                <w:spacing w:val="-3"/>
                <w:szCs w:val="21"/>
              </w:rPr>
              <w:t>噪声影响</w:t>
            </w:r>
          </w:p>
          <w:p>
            <w:pPr>
              <w:spacing w:line="360" w:lineRule="auto"/>
              <w:ind w:firstLine="380" w:firstLineChars="200"/>
              <w:rPr>
                <w:rFonts w:ascii="宋体" w:hAnsi="宋体" w:cs="宋体"/>
                <w:szCs w:val="21"/>
              </w:rPr>
            </w:pPr>
            <w:r>
              <w:rPr>
                <w:rFonts w:ascii="宋体" w:hAnsi="宋体" w:cs="宋体"/>
                <w:spacing w:val="-10"/>
                <w:szCs w:val="21"/>
              </w:rPr>
              <w:t>废水：施工</w:t>
            </w:r>
            <w:r>
              <w:rPr>
                <w:rFonts w:hint="eastAsia" w:ascii="宋体" w:hAnsi="宋体" w:cs="宋体"/>
                <w:spacing w:val="-10"/>
                <w:szCs w:val="21"/>
              </w:rPr>
              <w:t>期间</w:t>
            </w:r>
            <w:r>
              <w:rPr>
                <w:rFonts w:ascii="宋体" w:hAnsi="宋体" w:cs="宋体"/>
                <w:spacing w:val="-10"/>
                <w:szCs w:val="21"/>
              </w:rPr>
              <w:t>生活污水经化粪池处理后回用于农田灌溉，严</w:t>
            </w:r>
            <w:r>
              <w:rPr>
                <w:rFonts w:ascii="宋体" w:hAnsi="宋体" w:cs="宋体"/>
                <w:spacing w:val="-2"/>
                <w:szCs w:val="21"/>
              </w:rPr>
              <w:t>禁将施工人员生活污水直接排入水体。施工现场不进行砂石料清洗、混凝土搅拌，</w:t>
            </w:r>
            <w:r>
              <w:rPr>
                <w:rFonts w:ascii="宋体" w:hAnsi="宋体" w:cs="宋体"/>
                <w:spacing w:val="-1"/>
                <w:szCs w:val="21"/>
              </w:rPr>
              <w:t>现场不清洗车辆，雨天禁止施工，产生的施工废水，尽可能就近排入城市污水管网，对施工周边水环境影响较小。</w:t>
            </w:r>
          </w:p>
          <w:p>
            <w:pPr>
              <w:spacing w:line="360" w:lineRule="auto"/>
              <w:ind w:firstLine="400" w:firstLineChars="200"/>
              <w:rPr>
                <w:rFonts w:ascii="宋体" w:hAnsi="宋体" w:cs="宋体"/>
                <w:spacing w:val="-5"/>
                <w:position w:val="20"/>
                <w:szCs w:val="21"/>
              </w:rPr>
            </w:pPr>
            <w:r>
              <w:rPr>
                <w:rFonts w:hint="eastAsia" w:ascii="宋体" w:hAnsi="宋体" w:cs="宋体"/>
                <w:spacing w:val="-5"/>
                <w:position w:val="20"/>
                <w:szCs w:val="21"/>
              </w:rPr>
              <w:t>（3）</w:t>
            </w:r>
            <w:r>
              <w:rPr>
                <w:rFonts w:ascii="宋体" w:hAnsi="宋体" w:cs="宋体"/>
                <w:spacing w:val="-5"/>
                <w:position w:val="20"/>
                <w:szCs w:val="21"/>
              </w:rPr>
              <w:t>噪声：施工单位选用低噪声设备，合理安排施工时间，</w:t>
            </w:r>
            <w:r>
              <w:rPr>
                <w:rFonts w:hint="eastAsia" w:ascii="宋体" w:hAnsi="宋体" w:cs="宋体"/>
                <w:spacing w:val="-5"/>
                <w:position w:val="20"/>
                <w:szCs w:val="21"/>
              </w:rPr>
              <w:t>在</w:t>
            </w:r>
            <w:r>
              <w:rPr>
                <w:rFonts w:ascii="宋体" w:hAnsi="宋体" w:cs="宋体"/>
                <w:spacing w:val="-5"/>
                <w:position w:val="20"/>
                <w:szCs w:val="21"/>
              </w:rPr>
              <w:t>高噪声设备周</w:t>
            </w:r>
            <w:r>
              <w:rPr>
                <w:rFonts w:hint="eastAsia" w:ascii="宋体" w:hAnsi="宋体" w:cs="宋体"/>
                <w:spacing w:val="-5"/>
                <w:position w:val="20"/>
                <w:szCs w:val="21"/>
              </w:rPr>
              <w:t>围设置屏障。</w:t>
            </w:r>
          </w:p>
          <w:p>
            <w:pPr>
              <w:spacing w:line="360" w:lineRule="auto"/>
              <w:ind w:firstLine="412" w:firstLineChars="200"/>
              <w:rPr>
                <w:rFonts w:ascii="宋体" w:hAnsi="宋体" w:cs="宋体"/>
                <w:szCs w:val="21"/>
              </w:rPr>
            </w:pPr>
            <w:r>
              <w:rPr>
                <w:rFonts w:ascii="宋体" w:hAnsi="宋体" w:cs="宋体"/>
                <w:spacing w:val="-2"/>
                <w:szCs w:val="21"/>
              </w:rPr>
              <w:t>（</w:t>
            </w:r>
            <w:r>
              <w:rPr>
                <w:rFonts w:eastAsia="Times New Roman"/>
                <w:spacing w:val="-2"/>
                <w:szCs w:val="21"/>
              </w:rPr>
              <w:t>4</w:t>
            </w:r>
            <w:r>
              <w:rPr>
                <w:rFonts w:ascii="宋体" w:hAnsi="宋体" w:cs="宋体"/>
                <w:spacing w:val="-2"/>
                <w:szCs w:val="21"/>
              </w:rPr>
              <w:t>）固体废弃物影响</w:t>
            </w:r>
          </w:p>
          <w:p>
            <w:pPr>
              <w:spacing w:line="360" w:lineRule="auto"/>
              <w:ind w:firstLine="420" w:firstLineChars="200"/>
              <w:rPr>
                <w:rFonts w:ascii="宋体" w:hAnsi="宋体" w:cs="宋体"/>
                <w:szCs w:val="21"/>
              </w:rPr>
            </w:pPr>
            <w:r>
              <w:rPr>
                <w:rFonts w:ascii="宋体" w:hAnsi="宋体" w:cs="宋体"/>
                <w:szCs w:val="21"/>
              </w:rPr>
              <w:t xml:space="preserve">施工建筑垃圾与施工人员生活垃圾由所在地环卫部门统一收集处理后。故施 </w:t>
            </w:r>
            <w:r>
              <w:rPr>
                <w:rFonts w:ascii="宋体" w:hAnsi="宋体" w:cs="宋体"/>
                <w:spacing w:val="-1"/>
                <w:szCs w:val="21"/>
              </w:rPr>
              <w:t>工期固废对环境无影响。施工建筑垃圾与施工人员生活垃圾由所在地环卫部门统</w:t>
            </w:r>
            <w:r>
              <w:rPr>
                <w:rFonts w:ascii="宋体" w:hAnsi="宋体" w:cs="宋体"/>
                <w:spacing w:val="-2"/>
                <w:szCs w:val="21"/>
              </w:rPr>
              <w:t>一收集处理后。故施工期固废对环境无影响。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436" w:type="dxa"/>
            <w:vMerge w:val="continue"/>
            <w:tcBorders>
              <w:top w:val="nil"/>
            </w:tcBorders>
            <w:textDirection w:val="tbRlV"/>
            <w:vAlign w:val="center"/>
          </w:tcPr>
          <w:p>
            <w:pPr>
              <w:jc w:val="center"/>
              <w:rPr>
                <w:rFonts w:ascii="黑体"/>
                <w:szCs w:val="21"/>
              </w:rPr>
            </w:pPr>
          </w:p>
        </w:tc>
        <w:tc>
          <w:tcPr>
            <w:tcW w:w="1438" w:type="dxa"/>
            <w:vAlign w:val="center"/>
          </w:tcPr>
          <w:p>
            <w:pPr>
              <w:spacing w:line="294" w:lineRule="auto"/>
              <w:jc w:val="center"/>
              <w:rPr>
                <w:rFonts w:ascii="黑体"/>
                <w:szCs w:val="21"/>
              </w:rPr>
            </w:pPr>
          </w:p>
          <w:p>
            <w:pPr>
              <w:spacing w:before="68" w:line="186" w:lineRule="auto"/>
              <w:ind w:firstLine="293"/>
              <w:jc w:val="center"/>
              <w:rPr>
                <w:rFonts w:ascii="宋体" w:hAnsi="宋体" w:cs="宋体"/>
                <w:szCs w:val="21"/>
              </w:rPr>
            </w:pPr>
            <w:r>
              <w:rPr>
                <w:rFonts w:ascii="宋体" w:hAnsi="宋体" w:cs="宋体"/>
                <w:spacing w:val="-2"/>
                <w:szCs w:val="21"/>
              </w:rPr>
              <w:t>社会影响</w:t>
            </w:r>
          </w:p>
        </w:tc>
        <w:tc>
          <w:tcPr>
            <w:tcW w:w="7770" w:type="dxa"/>
            <w:vAlign w:val="center"/>
          </w:tcPr>
          <w:p>
            <w:pPr>
              <w:spacing w:before="208" w:line="186" w:lineRule="auto"/>
              <w:ind w:firstLine="118"/>
              <w:rPr>
                <w:rFonts w:ascii="宋体" w:hAnsi="宋体" w:cs="宋体"/>
                <w:color w:val="000000"/>
                <w:szCs w:val="21"/>
              </w:rPr>
            </w:pPr>
            <w:r>
              <w:rPr>
                <w:rFonts w:ascii="宋体" w:hAnsi="宋体" w:cs="宋体"/>
                <w:spacing w:val="-2"/>
                <w:szCs w:val="21"/>
              </w:rPr>
              <w:t>（</w:t>
            </w:r>
            <w:r>
              <w:rPr>
                <w:rFonts w:eastAsia="Times New Roman"/>
                <w:spacing w:val="-2"/>
                <w:szCs w:val="21"/>
              </w:rPr>
              <w:t>1</w:t>
            </w:r>
            <w:r>
              <w:rPr>
                <w:rFonts w:ascii="宋体" w:hAnsi="宋体" w:cs="宋体"/>
                <w:spacing w:val="-2"/>
                <w:szCs w:val="21"/>
              </w:rPr>
              <w:t>）本次验收调查的工程没有拆迁问题。</w:t>
            </w:r>
          </w:p>
          <w:p>
            <w:pPr>
              <w:spacing w:before="269" w:line="186" w:lineRule="auto"/>
              <w:ind w:firstLine="118"/>
              <w:rPr>
                <w:rFonts w:ascii="宋体" w:hAnsi="宋体" w:cs="宋体"/>
                <w:szCs w:val="21"/>
              </w:rPr>
            </w:pPr>
            <w:r>
              <w:rPr>
                <w:rFonts w:ascii="宋体" w:hAnsi="宋体" w:cs="宋体"/>
                <w:color w:val="000000"/>
                <w:spacing w:val="-1"/>
                <w:szCs w:val="21"/>
              </w:rPr>
              <w:t>（</w:t>
            </w:r>
            <w:r>
              <w:rPr>
                <w:rFonts w:eastAsia="Times New Roman"/>
                <w:color w:val="000000"/>
                <w:spacing w:val="-1"/>
                <w:szCs w:val="21"/>
              </w:rPr>
              <w:t>2</w:t>
            </w:r>
            <w:r>
              <w:rPr>
                <w:rFonts w:ascii="宋体" w:hAnsi="宋体" w:cs="宋体"/>
                <w:color w:val="000000"/>
                <w:spacing w:val="-1"/>
                <w:szCs w:val="21"/>
              </w:rPr>
              <w:t>）工程施工区、永久占地及调查范围内未涉及文物古迹。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436" w:type="dxa"/>
            <w:vMerge w:val="restart"/>
            <w:textDirection w:val="tbRlV"/>
            <w:vAlign w:val="center"/>
          </w:tcPr>
          <w:p>
            <w:pPr>
              <w:spacing w:before="105" w:line="180" w:lineRule="auto"/>
              <w:ind w:firstLine="285"/>
              <w:jc w:val="center"/>
              <w:rPr>
                <w:rFonts w:ascii="宋体" w:hAnsi="宋体" w:cs="宋体"/>
                <w:szCs w:val="21"/>
              </w:rPr>
            </w:pPr>
            <w:r>
              <w:rPr>
                <w:rFonts w:ascii="宋体" w:hAnsi="宋体" w:cs="宋体"/>
                <w:spacing w:val="1"/>
                <w:szCs w:val="21"/>
              </w:rPr>
              <w:t>运行期</w:t>
            </w:r>
          </w:p>
        </w:tc>
        <w:tc>
          <w:tcPr>
            <w:tcW w:w="1438" w:type="dxa"/>
            <w:vAlign w:val="center"/>
          </w:tcPr>
          <w:p>
            <w:pPr>
              <w:spacing w:line="465" w:lineRule="auto"/>
              <w:jc w:val="center"/>
              <w:rPr>
                <w:rFonts w:ascii="黑体"/>
                <w:szCs w:val="21"/>
              </w:rPr>
            </w:pPr>
          </w:p>
          <w:p>
            <w:pPr>
              <w:spacing w:before="68" w:line="186" w:lineRule="auto"/>
              <w:ind w:firstLine="293"/>
              <w:jc w:val="center"/>
              <w:rPr>
                <w:rFonts w:ascii="宋体" w:hAnsi="宋体" w:cs="宋体"/>
                <w:szCs w:val="21"/>
              </w:rPr>
            </w:pPr>
            <w:r>
              <w:rPr>
                <w:rFonts w:ascii="宋体" w:hAnsi="宋体" w:cs="宋体"/>
                <w:spacing w:val="-2"/>
                <w:szCs w:val="21"/>
              </w:rPr>
              <w:t>生态影响</w:t>
            </w:r>
          </w:p>
        </w:tc>
        <w:tc>
          <w:tcPr>
            <w:tcW w:w="7770" w:type="dxa"/>
            <w:vAlign w:val="center"/>
          </w:tcPr>
          <w:p>
            <w:pPr>
              <w:spacing w:before="68" w:line="186" w:lineRule="auto"/>
              <w:ind w:firstLine="971"/>
              <w:rPr>
                <w:rFonts w:ascii="宋体" w:hAnsi="宋体" w:cs="宋体"/>
                <w:szCs w:val="21"/>
              </w:rPr>
            </w:pPr>
            <w:r>
              <w:rPr>
                <w:rFonts w:ascii="宋体" w:hAnsi="宋体" w:cs="宋体"/>
                <w:spacing w:val="-7"/>
                <w:szCs w:val="21"/>
              </w:rPr>
              <w:t>绿化率达</w:t>
            </w:r>
            <w:r>
              <w:rPr>
                <w:rFonts w:eastAsia="Times New Roman"/>
                <w:spacing w:val="-7"/>
                <w:szCs w:val="21"/>
              </w:rPr>
              <w:t>25</w:t>
            </w:r>
            <w:r>
              <w:rPr>
                <w:rFonts w:ascii="宋体" w:hAnsi="宋体" w:cs="宋体"/>
                <w:spacing w:val="11"/>
                <w:szCs w:val="21"/>
              </w:rPr>
              <w:t>％，</w:t>
            </w:r>
            <w:r>
              <w:rPr>
                <w:rFonts w:ascii="宋体" w:hAnsi="宋体" w:cs="宋体"/>
                <w:spacing w:val="-7"/>
                <w:szCs w:val="21"/>
              </w:rPr>
              <w:t>植被生长良好，工程运行对生态环境无影响。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436" w:type="dxa"/>
            <w:vMerge w:val="continue"/>
            <w:textDirection w:val="tbRlV"/>
            <w:vAlign w:val="center"/>
          </w:tcPr>
          <w:p>
            <w:pPr>
              <w:spacing w:before="105" w:line="180" w:lineRule="auto"/>
              <w:ind w:firstLine="285"/>
              <w:jc w:val="center"/>
              <w:rPr>
                <w:rFonts w:ascii="宋体" w:hAnsi="宋体" w:cs="宋体"/>
                <w:spacing w:val="1"/>
                <w:szCs w:val="21"/>
              </w:rPr>
            </w:pPr>
          </w:p>
        </w:tc>
        <w:tc>
          <w:tcPr>
            <w:tcW w:w="1438" w:type="dxa"/>
            <w:vAlign w:val="center"/>
          </w:tcPr>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4" w:lineRule="auto"/>
              <w:jc w:val="center"/>
              <w:rPr>
                <w:rFonts w:ascii="黑体"/>
                <w:szCs w:val="21"/>
              </w:rPr>
            </w:pPr>
          </w:p>
          <w:p>
            <w:pPr>
              <w:spacing w:line="245" w:lineRule="auto"/>
              <w:jc w:val="center"/>
              <w:rPr>
                <w:rFonts w:ascii="黑体"/>
                <w:szCs w:val="21"/>
              </w:rPr>
            </w:pPr>
          </w:p>
          <w:p>
            <w:pPr>
              <w:spacing w:line="245" w:lineRule="auto"/>
              <w:jc w:val="center"/>
              <w:rPr>
                <w:rFonts w:ascii="黑体"/>
                <w:szCs w:val="21"/>
              </w:rPr>
            </w:pPr>
          </w:p>
          <w:p>
            <w:pPr>
              <w:spacing w:line="245" w:lineRule="auto"/>
              <w:jc w:val="center"/>
              <w:rPr>
                <w:rFonts w:ascii="黑体"/>
                <w:szCs w:val="21"/>
              </w:rPr>
            </w:pPr>
          </w:p>
          <w:p>
            <w:pPr>
              <w:spacing w:before="69" w:line="186" w:lineRule="auto"/>
              <w:ind w:firstLine="291"/>
              <w:jc w:val="center"/>
              <w:rPr>
                <w:rFonts w:ascii="宋体" w:hAnsi="宋体" w:cs="宋体"/>
                <w:spacing w:val="-2"/>
                <w:szCs w:val="21"/>
              </w:rPr>
            </w:pPr>
            <w:r>
              <w:rPr>
                <w:rFonts w:ascii="宋体" w:hAnsi="宋体" w:cs="宋体"/>
                <w:spacing w:val="-2"/>
                <w:szCs w:val="21"/>
              </w:rPr>
              <w:t>环境影响</w:t>
            </w:r>
          </w:p>
        </w:tc>
        <w:tc>
          <w:tcPr>
            <w:tcW w:w="7770" w:type="dxa"/>
            <w:vAlign w:val="center"/>
          </w:tcPr>
          <w:p>
            <w:pPr>
              <w:spacing w:line="360" w:lineRule="auto"/>
              <w:rPr>
                <w:rFonts w:ascii="宋体" w:hAnsi="宋体" w:cs="宋体"/>
                <w:spacing w:val="-3"/>
                <w:position w:val="19"/>
                <w:szCs w:val="21"/>
              </w:rPr>
            </w:pPr>
            <w:r>
              <w:rPr>
                <w:rFonts w:ascii="宋体" w:hAnsi="宋体" w:cs="宋体"/>
                <w:spacing w:val="-3"/>
                <w:position w:val="19"/>
                <w:szCs w:val="21"/>
              </w:rPr>
              <w:t>（1）声环境影响</w:t>
            </w:r>
          </w:p>
          <w:p>
            <w:pPr>
              <w:spacing w:line="360" w:lineRule="auto"/>
              <w:ind w:firstLine="408" w:firstLineChars="200"/>
              <w:rPr>
                <w:rFonts w:ascii="宋体" w:hAnsi="宋体" w:cs="宋体"/>
                <w:szCs w:val="21"/>
              </w:rPr>
            </w:pPr>
            <w:r>
              <w:rPr>
                <w:rFonts w:ascii="宋体" w:hAnsi="宋体" w:cs="宋体"/>
                <w:spacing w:val="-3"/>
                <w:position w:val="19"/>
                <w:szCs w:val="21"/>
              </w:rPr>
              <w:t>本次验收调查的项目区厂界噪声符合环评批复的标准，也符合《工业企业厂</w:t>
            </w:r>
            <w:r>
              <w:rPr>
                <w:rFonts w:hint="eastAsia" w:ascii="宋体" w:hAnsi="宋体" w:cs="宋体"/>
                <w:spacing w:val="-3"/>
                <w:position w:val="19"/>
                <w:szCs w:val="21"/>
              </w:rPr>
              <w:t>界环境噪声排放标准》（GB12348-2008）中1类标准要求。</w:t>
            </w:r>
          </w:p>
          <w:p>
            <w:pPr>
              <w:spacing w:line="360" w:lineRule="auto"/>
              <w:ind w:firstLine="412" w:firstLineChars="200"/>
              <w:jc w:val="left"/>
              <w:rPr>
                <w:rFonts w:ascii="宋体" w:hAnsi="宋体" w:cs="宋体"/>
                <w:szCs w:val="21"/>
              </w:rPr>
            </w:pPr>
            <w:r>
              <w:rPr>
                <w:rFonts w:ascii="宋体" w:hAnsi="宋体" w:cs="宋体"/>
                <w:spacing w:val="-2"/>
                <w:szCs w:val="21"/>
              </w:rPr>
              <w:t>（</w:t>
            </w:r>
            <w:r>
              <w:rPr>
                <w:rFonts w:eastAsia="Times New Roman"/>
                <w:spacing w:val="-2"/>
                <w:szCs w:val="21"/>
              </w:rPr>
              <w:t>2</w:t>
            </w:r>
            <w:r>
              <w:rPr>
                <w:rFonts w:ascii="宋体" w:hAnsi="宋体" w:cs="宋体"/>
                <w:spacing w:val="-2"/>
                <w:szCs w:val="21"/>
              </w:rPr>
              <w:t>）水环境影响</w:t>
            </w:r>
          </w:p>
          <w:p>
            <w:pPr>
              <w:spacing w:line="360" w:lineRule="auto"/>
              <w:ind w:firstLine="372" w:firstLineChars="200"/>
              <w:rPr>
                <w:rFonts w:ascii="宋体" w:hAnsi="宋体" w:cs="宋体"/>
                <w:spacing w:val="-12"/>
                <w:szCs w:val="21"/>
              </w:rPr>
            </w:pPr>
            <w:r>
              <w:rPr>
                <w:rFonts w:hint="eastAsia" w:ascii="宋体" w:hAnsi="宋体" w:cs="宋体"/>
                <w:spacing w:val="-12"/>
                <w:szCs w:val="21"/>
              </w:rPr>
              <w:t>本项目无生产废水的产生。</w:t>
            </w:r>
          </w:p>
          <w:p>
            <w:pPr>
              <w:spacing w:line="360" w:lineRule="auto"/>
              <w:ind w:firstLine="416" w:firstLineChars="200"/>
              <w:rPr>
                <w:rFonts w:ascii="宋体" w:hAnsi="宋体" w:cs="宋体"/>
                <w:szCs w:val="21"/>
              </w:rPr>
            </w:pPr>
            <w:r>
              <w:rPr>
                <w:rFonts w:ascii="宋体" w:hAnsi="宋体" w:cs="宋体"/>
                <w:spacing w:val="-1"/>
                <w:szCs w:val="21"/>
              </w:rPr>
              <w:t>（</w:t>
            </w:r>
            <w:r>
              <w:rPr>
                <w:rFonts w:eastAsia="Times New Roman"/>
                <w:spacing w:val="-1"/>
                <w:szCs w:val="21"/>
              </w:rPr>
              <w:t>3</w:t>
            </w:r>
            <w:r>
              <w:rPr>
                <w:rFonts w:ascii="宋体" w:hAnsi="宋体" w:cs="宋体"/>
                <w:spacing w:val="-1"/>
                <w:szCs w:val="21"/>
              </w:rPr>
              <w:t>）固体废物环境影响</w:t>
            </w:r>
          </w:p>
          <w:p>
            <w:pPr>
              <w:spacing w:line="360" w:lineRule="auto"/>
              <w:ind w:firstLine="428" w:firstLineChars="200"/>
              <w:rPr>
                <w:rFonts w:ascii="宋体" w:hAnsi="宋体" w:cs="宋体"/>
                <w:szCs w:val="21"/>
              </w:rPr>
            </w:pPr>
            <w:r>
              <w:rPr>
                <w:rFonts w:hint="eastAsia" w:ascii="宋体" w:hAnsi="宋体" w:cs="宋体"/>
                <w:spacing w:val="2"/>
                <w:szCs w:val="21"/>
              </w:rPr>
              <w:t>本项目产生的危废由维修人员带回，因此对周边环境无影响。</w:t>
            </w:r>
          </w:p>
          <w:p>
            <w:pPr>
              <w:spacing w:line="360" w:lineRule="auto"/>
              <w:jc w:val="center"/>
              <w:rPr>
                <w:rFonts w:ascii="宋体" w:hAnsi="宋体" w:cs="宋体"/>
                <w:spacing w:val="-7"/>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436" w:type="dxa"/>
            <w:vMerge w:val="continue"/>
            <w:textDirection w:val="tbRlV"/>
            <w:vAlign w:val="center"/>
          </w:tcPr>
          <w:p>
            <w:pPr>
              <w:spacing w:before="105" w:line="180" w:lineRule="auto"/>
              <w:ind w:firstLine="285"/>
              <w:jc w:val="center"/>
              <w:rPr>
                <w:rFonts w:ascii="宋体" w:hAnsi="宋体" w:cs="宋体"/>
                <w:spacing w:val="1"/>
                <w:szCs w:val="21"/>
              </w:rPr>
            </w:pPr>
          </w:p>
        </w:tc>
        <w:tc>
          <w:tcPr>
            <w:tcW w:w="1438" w:type="dxa"/>
            <w:vAlign w:val="center"/>
          </w:tcPr>
          <w:p>
            <w:pPr>
              <w:spacing w:line="451" w:lineRule="auto"/>
              <w:jc w:val="center"/>
              <w:rPr>
                <w:rFonts w:ascii="黑体"/>
                <w:szCs w:val="21"/>
              </w:rPr>
            </w:pPr>
          </w:p>
          <w:p>
            <w:pPr>
              <w:spacing w:before="68" w:line="186" w:lineRule="auto"/>
              <w:ind w:firstLine="293"/>
              <w:jc w:val="center"/>
              <w:rPr>
                <w:rFonts w:ascii="宋体" w:hAnsi="宋体" w:cs="宋体"/>
                <w:spacing w:val="-2"/>
                <w:szCs w:val="21"/>
              </w:rPr>
            </w:pPr>
            <w:r>
              <w:rPr>
                <w:rFonts w:ascii="宋体" w:hAnsi="宋体" w:cs="宋体"/>
                <w:spacing w:val="-2"/>
                <w:szCs w:val="21"/>
              </w:rPr>
              <w:t>社会影响</w:t>
            </w:r>
          </w:p>
        </w:tc>
        <w:tc>
          <w:tcPr>
            <w:tcW w:w="7770" w:type="dxa"/>
            <w:vAlign w:val="center"/>
          </w:tcPr>
          <w:p>
            <w:pPr>
              <w:spacing w:before="68" w:line="186" w:lineRule="auto"/>
              <w:ind w:firstLine="532"/>
              <w:jc w:val="center"/>
            </w:pPr>
            <w:r>
              <w:t>满足</w:t>
            </w:r>
            <w:r>
              <w:rPr>
                <w:rFonts w:hint="eastAsia"/>
              </w:rPr>
              <w:t>睢宁县</w:t>
            </w:r>
            <w:r>
              <w:t>的用电需要，促进当地经济社会发展。</w:t>
            </w: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416"/>
              <w:jc w:val="center"/>
              <w:rPr>
                <w:rFonts w:ascii="宋体" w:hAnsi="宋体" w:cs="宋体"/>
                <w:spacing w:val="-1"/>
                <w:szCs w:val="21"/>
              </w:rPr>
            </w:pPr>
          </w:p>
          <w:p>
            <w:pPr>
              <w:pStyle w:val="2"/>
              <w:ind w:firstLine="0" w:firstLineChars="0"/>
              <w:jc w:val="center"/>
              <w:rPr>
                <w:rFonts w:ascii="宋体" w:hAnsi="宋体" w:cs="宋体"/>
                <w:spacing w:val="-1"/>
                <w:szCs w:val="21"/>
              </w:rPr>
            </w:pPr>
          </w:p>
        </w:tc>
      </w:tr>
    </w:tbl>
    <w:p/>
    <w:p>
      <w:pPr>
        <w:pStyle w:val="2"/>
      </w:pPr>
    </w:p>
    <w:p>
      <w:pPr>
        <w:pStyle w:val="4"/>
        <w:tabs>
          <w:tab w:val="left" w:pos="7275"/>
        </w:tabs>
        <w:spacing w:beforeLines="50" w:afterLines="50" w:line="240" w:lineRule="auto"/>
        <w:rPr>
          <w:sz w:val="28"/>
          <w:szCs w:val="28"/>
        </w:rPr>
      </w:pPr>
      <w:bookmarkStart w:id="16" w:name="_Toc23839"/>
      <w:r>
        <w:rPr>
          <w:rFonts w:hint="eastAsia"/>
          <w:sz w:val="28"/>
          <w:szCs w:val="28"/>
        </w:rPr>
        <w:t>表十一 验收调查结论及建议</w:t>
      </w:r>
      <w:bookmarkEnd w:id="16"/>
    </w:p>
    <w:tbl>
      <w:tblPr>
        <w:tblStyle w:val="33"/>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85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9854" w:type="dxa"/>
          </w:tcPr>
          <w:p>
            <w:pPr>
              <w:spacing w:line="360" w:lineRule="auto"/>
              <w:ind w:firstLine="400" w:firstLineChars="200"/>
              <w:rPr>
                <w:rFonts w:ascii="宋体" w:hAnsi="宋体" w:cs="宋体"/>
                <w:szCs w:val="21"/>
              </w:rPr>
            </w:pPr>
            <w:r>
              <w:rPr>
                <w:rFonts w:ascii="宋体" w:hAnsi="宋体" w:cs="宋体"/>
                <w:spacing w:val="-5"/>
                <w:szCs w:val="21"/>
              </w:rPr>
              <w:t>通过对</w:t>
            </w:r>
            <w:r>
              <w:rPr>
                <w:rFonts w:hint="eastAsia" w:ascii="宋体" w:hAnsi="宋体" w:cs="宋体"/>
                <w:spacing w:val="-5"/>
                <w:szCs w:val="21"/>
              </w:rPr>
              <w:t>华润新能源（睢宁）有限公司一期风电项目配套110kV升压站工程</w:t>
            </w:r>
            <w:r>
              <w:rPr>
                <w:rFonts w:ascii="宋体" w:hAnsi="宋体" w:cs="宋体"/>
                <w:spacing w:val="-5"/>
                <w:szCs w:val="21"/>
              </w:rPr>
              <w:t>环境状况调查，对有关技术文件、报</w:t>
            </w:r>
            <w:r>
              <w:rPr>
                <w:rFonts w:ascii="宋体" w:hAnsi="宋体" w:cs="宋体"/>
                <w:szCs w:val="21"/>
              </w:rPr>
              <w:t>告的分析，对工程环保执行情况、环境保护措施的重点调查与监测，以及对项目区监测结果的分析与</w:t>
            </w:r>
            <w:r>
              <w:rPr>
                <w:rFonts w:ascii="宋体" w:hAnsi="宋体" w:cs="宋体"/>
                <w:spacing w:val="-8"/>
                <w:szCs w:val="21"/>
              </w:rPr>
              <w:t>评价，从环境保护角度对工程提出如下调查结论和建议：</w:t>
            </w:r>
          </w:p>
          <w:p>
            <w:pPr>
              <w:spacing w:line="360" w:lineRule="auto"/>
              <w:ind w:firstLine="412" w:firstLineChars="200"/>
              <w:rPr>
                <w:rFonts w:ascii="宋体" w:hAnsi="宋体" w:cs="宋体"/>
                <w:szCs w:val="21"/>
              </w:rPr>
            </w:pPr>
            <w:r>
              <w:rPr>
                <w:rFonts w:ascii="宋体" w:hAnsi="宋体" w:cs="宋体"/>
                <w:spacing w:val="-2"/>
                <w:szCs w:val="21"/>
              </w:rPr>
              <w:t>（</w:t>
            </w:r>
            <w:r>
              <w:rPr>
                <w:rFonts w:eastAsia="Times New Roman"/>
                <w:spacing w:val="-2"/>
                <w:szCs w:val="21"/>
              </w:rPr>
              <w:t>1</w:t>
            </w:r>
            <w:r>
              <w:rPr>
                <w:rFonts w:ascii="宋体" w:hAnsi="宋体" w:cs="宋体"/>
                <w:spacing w:val="-2"/>
                <w:szCs w:val="21"/>
              </w:rPr>
              <w:t>）工程基本情况</w:t>
            </w:r>
          </w:p>
          <w:p>
            <w:pPr>
              <w:spacing w:line="360" w:lineRule="auto"/>
              <w:ind w:firstLine="412" w:firstLineChars="200"/>
              <w:rPr>
                <w:rFonts w:ascii="宋体" w:hAnsi="宋体" w:cs="宋体"/>
                <w:szCs w:val="21"/>
              </w:rPr>
            </w:pPr>
            <w:r>
              <w:rPr>
                <w:rFonts w:hint="eastAsia" w:ascii="宋体" w:hAnsi="宋体" w:cs="宋体"/>
                <w:spacing w:val="-2"/>
                <w:szCs w:val="21"/>
              </w:rPr>
              <w:t>华润新能源（睢宁）有限公司一期风电项目</w:t>
            </w:r>
            <w:r>
              <w:rPr>
                <w:rFonts w:ascii="宋体" w:hAnsi="宋体" w:cs="宋体"/>
                <w:spacing w:val="-2"/>
                <w:szCs w:val="21"/>
              </w:rPr>
              <w:t>主要内容、规模以及与环评阶段的工程内容、</w:t>
            </w:r>
            <w:r>
              <w:rPr>
                <w:rFonts w:hint="eastAsia" w:ascii="宋体" w:hAnsi="宋体" w:cs="宋体"/>
                <w:szCs w:val="21"/>
              </w:rPr>
              <w:t>规模见上表四</w:t>
            </w:r>
            <w:r>
              <w:rPr>
                <w:rFonts w:ascii="宋体" w:hAnsi="宋体" w:cs="宋体"/>
                <w:spacing w:val="-1"/>
                <w:szCs w:val="21"/>
              </w:rPr>
              <w:t>。项目建设</w:t>
            </w:r>
            <w:r>
              <w:rPr>
                <w:rFonts w:hint="eastAsia" w:ascii="宋体" w:hAnsi="宋体" w:cs="宋体"/>
                <w:spacing w:val="-1"/>
                <w:szCs w:val="21"/>
              </w:rPr>
              <w:t>内容</w:t>
            </w:r>
            <w:r>
              <w:rPr>
                <w:rFonts w:ascii="宋体" w:hAnsi="宋体" w:cs="宋体"/>
                <w:spacing w:val="-1"/>
                <w:szCs w:val="21"/>
              </w:rPr>
              <w:t>同设计方案一致</w:t>
            </w:r>
            <w:r>
              <w:rPr>
                <w:rFonts w:hint="eastAsia" w:ascii="宋体" w:hAnsi="宋体" w:cs="宋体"/>
                <w:spacing w:val="-1"/>
                <w:szCs w:val="21"/>
              </w:rPr>
              <w:t>。</w:t>
            </w:r>
          </w:p>
          <w:p>
            <w:pPr>
              <w:spacing w:line="360" w:lineRule="auto"/>
              <w:ind w:firstLine="416" w:firstLineChars="200"/>
              <w:rPr>
                <w:rFonts w:ascii="宋体" w:hAnsi="宋体" w:cs="宋体"/>
                <w:szCs w:val="21"/>
              </w:rPr>
            </w:pPr>
            <w:r>
              <w:rPr>
                <w:rFonts w:ascii="宋体" w:hAnsi="宋体" w:cs="宋体"/>
                <w:spacing w:val="-1"/>
                <w:szCs w:val="21"/>
              </w:rPr>
              <w:t>（</w:t>
            </w:r>
            <w:r>
              <w:rPr>
                <w:rFonts w:eastAsia="Times New Roman"/>
                <w:spacing w:val="-1"/>
                <w:szCs w:val="21"/>
              </w:rPr>
              <w:t>2</w:t>
            </w:r>
            <w:r>
              <w:rPr>
                <w:rFonts w:ascii="宋体" w:hAnsi="宋体" w:cs="宋体"/>
                <w:spacing w:val="-1"/>
                <w:szCs w:val="21"/>
              </w:rPr>
              <w:t>）环境保护措施落实情况调查</w:t>
            </w:r>
          </w:p>
          <w:p>
            <w:pPr>
              <w:spacing w:line="360" w:lineRule="auto"/>
              <w:ind w:firstLine="420" w:firstLineChars="200"/>
              <w:rPr>
                <w:rFonts w:ascii="宋体" w:hAnsi="宋体" w:cs="宋体"/>
                <w:szCs w:val="21"/>
              </w:rPr>
            </w:pPr>
            <w:r>
              <w:rPr>
                <w:rFonts w:ascii="宋体" w:hAnsi="宋体" w:cs="宋体"/>
                <w:szCs w:val="21"/>
              </w:rPr>
              <w:t>环境影响报告表、批复文件和设计文件中对本工程提出了比较全面的环境保护措施要求，在工程</w:t>
            </w:r>
            <w:r>
              <w:rPr>
                <w:rFonts w:ascii="宋体" w:hAnsi="宋体" w:cs="宋体"/>
                <w:spacing w:val="-1"/>
                <w:szCs w:val="21"/>
              </w:rPr>
              <w:t>实际建设中和试运营以来环保措施基本已得到落实。</w:t>
            </w:r>
          </w:p>
          <w:p>
            <w:pPr>
              <w:spacing w:line="360" w:lineRule="auto"/>
              <w:ind w:firstLine="416" w:firstLineChars="200"/>
              <w:rPr>
                <w:rFonts w:ascii="宋体" w:hAnsi="宋体" w:cs="宋体"/>
                <w:szCs w:val="21"/>
              </w:rPr>
            </w:pPr>
            <w:r>
              <w:rPr>
                <w:rFonts w:ascii="宋体" w:hAnsi="宋体" w:cs="宋体"/>
                <w:spacing w:val="-1"/>
                <w:szCs w:val="21"/>
              </w:rPr>
              <w:t>（</w:t>
            </w:r>
            <w:r>
              <w:rPr>
                <w:rFonts w:eastAsia="Times New Roman"/>
                <w:spacing w:val="-1"/>
                <w:szCs w:val="21"/>
              </w:rPr>
              <w:t>3</w:t>
            </w:r>
            <w:r>
              <w:rPr>
                <w:rFonts w:ascii="宋体" w:hAnsi="宋体" w:cs="宋体"/>
                <w:spacing w:val="-1"/>
                <w:szCs w:val="21"/>
              </w:rPr>
              <w:t>）设计、施工期环境影响调查</w:t>
            </w:r>
          </w:p>
          <w:p>
            <w:pPr>
              <w:spacing w:line="360" w:lineRule="auto"/>
              <w:ind w:firstLine="420" w:firstLineChars="200"/>
              <w:rPr>
                <w:rFonts w:ascii="宋体" w:hAnsi="宋体" w:cs="宋体"/>
                <w:szCs w:val="21"/>
              </w:rPr>
            </w:pPr>
            <w:r>
              <w:rPr>
                <w:rFonts w:ascii="宋体" w:hAnsi="宋体" w:cs="宋体"/>
                <w:szCs w:val="21"/>
              </w:rPr>
              <w:t>工程在选择厂址和进行设计的过程中，在考虑附近社会状况和可能产生的环境影响的基础上，对各种环境影响提出了相关对策并落实到工程设计之中。施工单位针对施工期的各类环境影响分别采取</w:t>
            </w:r>
            <w:r>
              <w:rPr>
                <w:rFonts w:ascii="宋体" w:hAnsi="宋体" w:cs="宋体"/>
                <w:spacing w:val="-4"/>
                <w:szCs w:val="21"/>
              </w:rPr>
              <w:t>了防治措施。</w:t>
            </w:r>
          </w:p>
          <w:p>
            <w:pPr>
              <w:spacing w:line="360" w:lineRule="auto"/>
              <w:ind w:firstLine="412" w:firstLineChars="200"/>
              <w:rPr>
                <w:rFonts w:ascii="宋体" w:hAnsi="宋体" w:cs="宋体"/>
                <w:szCs w:val="21"/>
              </w:rPr>
            </w:pPr>
            <w:r>
              <w:rPr>
                <w:rFonts w:ascii="宋体" w:hAnsi="宋体" w:cs="宋体"/>
                <w:spacing w:val="-2"/>
                <w:szCs w:val="21"/>
              </w:rPr>
              <w:t>（</w:t>
            </w:r>
            <w:r>
              <w:rPr>
                <w:rFonts w:eastAsia="Times New Roman"/>
                <w:spacing w:val="-2"/>
                <w:szCs w:val="21"/>
              </w:rPr>
              <w:t>4</w:t>
            </w:r>
            <w:r>
              <w:rPr>
                <w:rFonts w:ascii="宋体" w:hAnsi="宋体" w:cs="宋体"/>
                <w:spacing w:val="-2"/>
                <w:szCs w:val="21"/>
              </w:rPr>
              <w:t>）生态环境影响调查</w:t>
            </w:r>
          </w:p>
          <w:p>
            <w:pPr>
              <w:spacing w:line="360" w:lineRule="auto"/>
              <w:ind w:firstLine="420" w:firstLineChars="200"/>
              <w:rPr>
                <w:rFonts w:ascii="宋体" w:hAnsi="宋体" w:cs="宋体"/>
                <w:szCs w:val="21"/>
              </w:rPr>
            </w:pPr>
            <w:r>
              <w:rPr>
                <w:rFonts w:ascii="宋体" w:hAnsi="宋体" w:cs="宋体"/>
                <w:szCs w:val="21"/>
              </w:rPr>
              <w:t>施工完毕后施工便道地表及时进行了绿化，因此项目建设对生态环境影响较小。工程在厂区内进</w:t>
            </w:r>
            <w:r>
              <w:rPr>
                <w:rFonts w:ascii="宋体" w:hAnsi="宋体" w:cs="宋体"/>
                <w:spacing w:val="-8"/>
                <w:szCs w:val="21"/>
              </w:rPr>
              <w:t>行了绿化，绿化率达到</w:t>
            </w:r>
            <w:r>
              <w:rPr>
                <w:rFonts w:eastAsia="Times New Roman"/>
                <w:spacing w:val="-8"/>
                <w:szCs w:val="21"/>
              </w:rPr>
              <w:t>25</w:t>
            </w:r>
            <w:r>
              <w:rPr>
                <w:rFonts w:ascii="宋体" w:hAnsi="宋体" w:cs="宋体"/>
                <w:spacing w:val="-8"/>
                <w:szCs w:val="21"/>
              </w:rPr>
              <w:t>％以上。目前大部分绿化植物生长良好，取得了较好的防护及景观效果。</w:t>
            </w:r>
          </w:p>
          <w:p>
            <w:pPr>
              <w:spacing w:line="360" w:lineRule="auto"/>
              <w:ind w:firstLine="420" w:firstLineChars="200"/>
              <w:rPr>
                <w:rFonts w:ascii="宋体" w:hAnsi="宋体" w:cs="宋体"/>
                <w:szCs w:val="21"/>
              </w:rPr>
            </w:pPr>
            <w:r>
              <w:rPr>
                <w:rFonts w:ascii="宋体" w:hAnsi="宋体" w:cs="宋体"/>
                <w:szCs w:val="21"/>
              </w:rPr>
              <w:t>（5）声环境影响调查</w:t>
            </w:r>
          </w:p>
          <w:p>
            <w:pPr>
              <w:spacing w:line="360" w:lineRule="auto"/>
              <w:ind w:firstLine="420" w:firstLineChars="200"/>
              <w:rPr>
                <w:rFonts w:ascii="宋体" w:hAnsi="宋体" w:cs="宋体"/>
                <w:szCs w:val="21"/>
              </w:rPr>
            </w:pPr>
            <w:r>
              <w:rPr>
                <w:rFonts w:ascii="宋体" w:hAnsi="宋体" w:cs="宋体"/>
                <w:szCs w:val="21"/>
              </w:rPr>
              <w:t>根据</w:t>
            </w:r>
            <w:r>
              <w:rPr>
                <w:rFonts w:hint="eastAsia" w:ascii="宋体" w:hAnsi="宋体" w:cs="宋体"/>
                <w:szCs w:val="21"/>
              </w:rPr>
              <w:t>江苏皓翔环境检测有限公司</w:t>
            </w:r>
            <w:r>
              <w:rPr>
                <w:rFonts w:ascii="宋体" w:hAnsi="宋体" w:cs="宋体"/>
                <w:szCs w:val="21"/>
              </w:rPr>
              <w:t>监测报告结果表明，本项目厂界噪声均达到 《工业企业厂界噪声 标准》（GB12348-2008）</w:t>
            </w:r>
            <w:r>
              <w:rPr>
                <w:rFonts w:hint="eastAsia" w:ascii="宋体" w:hAnsi="宋体" w:cs="宋体"/>
                <w:szCs w:val="21"/>
              </w:rPr>
              <w:t>1</w:t>
            </w:r>
            <w:r>
              <w:rPr>
                <w:rFonts w:ascii="宋体" w:hAnsi="宋体" w:cs="宋体"/>
                <w:szCs w:val="21"/>
              </w:rPr>
              <w:t xml:space="preserve"> 类标准。</w:t>
            </w:r>
          </w:p>
          <w:p>
            <w:pPr>
              <w:spacing w:line="360" w:lineRule="auto"/>
              <w:ind w:firstLine="420" w:firstLineChars="200"/>
              <w:rPr>
                <w:rFonts w:ascii="宋体" w:hAnsi="宋体" w:cs="宋体"/>
                <w:szCs w:val="21"/>
              </w:rPr>
            </w:pPr>
            <w:r>
              <w:rPr>
                <w:rFonts w:ascii="宋体" w:hAnsi="宋体" w:cs="宋体"/>
                <w:szCs w:val="21"/>
              </w:rPr>
              <w:t>（6）</w:t>
            </w:r>
            <w:r>
              <w:rPr>
                <w:rFonts w:hint="eastAsia" w:ascii="宋体" w:hAnsi="宋体" w:cs="宋体"/>
                <w:szCs w:val="21"/>
              </w:rPr>
              <w:t>工频电场、工频磁场</w:t>
            </w:r>
            <w:r>
              <w:rPr>
                <w:rFonts w:ascii="宋体" w:hAnsi="宋体" w:cs="宋体"/>
                <w:szCs w:val="21"/>
              </w:rPr>
              <w:t>环境影响调查</w:t>
            </w:r>
          </w:p>
          <w:p>
            <w:pPr>
              <w:spacing w:line="360" w:lineRule="auto"/>
              <w:ind w:firstLine="420" w:firstLineChars="200"/>
              <w:rPr>
                <w:rFonts w:ascii="宋体" w:hAnsi="宋体" w:cs="宋体"/>
                <w:szCs w:val="21"/>
              </w:rPr>
            </w:pPr>
            <w:r>
              <w:rPr>
                <w:rFonts w:ascii="宋体" w:hAnsi="宋体" w:cs="宋体"/>
                <w:szCs w:val="21"/>
              </w:rPr>
              <w:t>根据</w:t>
            </w:r>
            <w:r>
              <w:rPr>
                <w:rFonts w:hint="eastAsia" w:ascii="宋体" w:hAnsi="宋体" w:cs="宋体"/>
                <w:szCs w:val="21"/>
              </w:rPr>
              <w:t>普研（上海）标准技术服务有限公司</w:t>
            </w:r>
            <w:r>
              <w:rPr>
                <w:rFonts w:ascii="宋体" w:hAnsi="宋体" w:cs="宋体"/>
                <w:szCs w:val="21"/>
              </w:rPr>
              <w:t>监测报告结果表明，本项目</w:t>
            </w:r>
            <w:r>
              <w:rPr>
                <w:rFonts w:hint="eastAsia" w:ascii="宋体" w:hAnsi="宋体" w:cs="宋体"/>
                <w:szCs w:val="21"/>
              </w:rPr>
              <w:t>工频电磁场</w:t>
            </w:r>
            <w:r>
              <w:rPr>
                <w:rFonts w:ascii="宋体" w:hAnsi="宋体" w:cs="宋体"/>
                <w:szCs w:val="21"/>
              </w:rPr>
              <w:t>均达到 《</w:t>
            </w:r>
            <w:r>
              <w:rPr>
                <w:rFonts w:hint="eastAsia" w:ascii="宋体" w:hAnsi="宋体" w:cs="宋体"/>
                <w:szCs w:val="21"/>
              </w:rPr>
              <w:t>电磁环境控制限值</w:t>
            </w:r>
            <w:r>
              <w:rPr>
                <w:rFonts w:ascii="宋体" w:hAnsi="宋体" w:cs="宋体"/>
                <w:szCs w:val="21"/>
              </w:rPr>
              <w:t>》（GB</w:t>
            </w:r>
            <w:r>
              <w:rPr>
                <w:rFonts w:hint="eastAsia" w:ascii="宋体" w:hAnsi="宋体" w:cs="宋体"/>
                <w:szCs w:val="21"/>
              </w:rPr>
              <w:t>8702-2014</w:t>
            </w:r>
            <w:r>
              <w:rPr>
                <w:rFonts w:ascii="宋体" w:hAnsi="宋体" w:cs="宋体"/>
                <w:szCs w:val="21"/>
              </w:rPr>
              <w:t>）</w:t>
            </w:r>
            <w:r>
              <w:rPr>
                <w:rFonts w:hint="eastAsia" w:ascii="宋体" w:hAnsi="宋体" w:cs="宋体"/>
                <w:szCs w:val="21"/>
              </w:rPr>
              <w:t>1</w:t>
            </w:r>
            <w:r>
              <w:rPr>
                <w:rFonts w:ascii="宋体" w:hAnsi="宋体" w:cs="宋体"/>
                <w:szCs w:val="21"/>
              </w:rPr>
              <w:t xml:space="preserve"> 类标准。</w:t>
            </w:r>
          </w:p>
          <w:p>
            <w:pPr>
              <w:spacing w:line="360" w:lineRule="auto"/>
              <w:ind w:firstLine="420" w:firstLineChars="200"/>
              <w:rPr>
                <w:rFonts w:ascii="宋体" w:hAnsi="宋体" w:cs="宋体"/>
                <w:szCs w:val="21"/>
              </w:rPr>
            </w:pPr>
            <w:r>
              <w:rPr>
                <w:rFonts w:ascii="宋体" w:hAnsi="宋体" w:cs="宋体"/>
                <w:szCs w:val="21"/>
              </w:rPr>
              <w:t>（</w:t>
            </w:r>
            <w:r>
              <w:rPr>
                <w:rFonts w:hint="eastAsia" w:ascii="宋体" w:hAnsi="宋体" w:cs="宋体"/>
                <w:szCs w:val="21"/>
              </w:rPr>
              <w:t>7</w:t>
            </w:r>
            <w:r>
              <w:rPr>
                <w:rFonts w:ascii="宋体" w:hAnsi="宋体" w:cs="宋体"/>
                <w:szCs w:val="21"/>
              </w:rPr>
              <w:t>）环境管理</w:t>
            </w:r>
          </w:p>
          <w:p>
            <w:pPr>
              <w:spacing w:line="360" w:lineRule="auto"/>
              <w:ind w:firstLine="420" w:firstLineChars="200"/>
              <w:rPr>
                <w:rFonts w:ascii="宋体" w:hAnsi="宋体" w:cs="宋体"/>
                <w:szCs w:val="21"/>
              </w:rPr>
            </w:pPr>
            <w:r>
              <w:rPr>
                <w:rFonts w:ascii="宋体" w:hAnsi="宋体" w:cs="宋体"/>
                <w:szCs w:val="21"/>
              </w:rPr>
              <w:t>工程建设、管理有关单位环境保护组织机构健全， 环境保护规章制度比较完善，环评文件中提出 的环境监测计划已落实。</w:t>
            </w:r>
          </w:p>
          <w:p>
            <w:pPr>
              <w:spacing w:line="360" w:lineRule="auto"/>
              <w:ind w:firstLine="420" w:firstLineChars="200"/>
              <w:rPr>
                <w:rFonts w:ascii="宋体" w:hAnsi="宋体" w:cs="宋体"/>
                <w:szCs w:val="21"/>
              </w:rPr>
            </w:pPr>
            <w:r>
              <w:rPr>
                <w:rFonts w:ascii="宋体" w:hAnsi="宋体" w:cs="宋体"/>
                <w:szCs w:val="21"/>
              </w:rPr>
              <w:t>（</w:t>
            </w:r>
            <w:r>
              <w:rPr>
                <w:rFonts w:hint="eastAsia" w:ascii="宋体" w:hAnsi="宋体" w:cs="宋体"/>
                <w:szCs w:val="21"/>
              </w:rPr>
              <w:t>8</w:t>
            </w:r>
            <w:r>
              <w:rPr>
                <w:rFonts w:ascii="宋体" w:hAnsi="宋体" w:cs="宋体"/>
                <w:szCs w:val="21"/>
              </w:rPr>
              <w:t>）公众意见调查</w:t>
            </w:r>
          </w:p>
          <w:p>
            <w:pPr>
              <w:spacing w:line="360" w:lineRule="auto"/>
              <w:ind w:firstLine="420" w:firstLineChars="200"/>
              <w:rPr>
                <w:rFonts w:ascii="宋体" w:hAnsi="宋体" w:cs="宋体"/>
                <w:szCs w:val="21"/>
              </w:rPr>
            </w:pPr>
            <w:r>
              <w:rPr>
                <w:rFonts w:ascii="宋体" w:hAnsi="宋体" w:cs="宋体"/>
                <w:szCs w:val="21"/>
              </w:rPr>
              <w:t>验收公示期间， 未收到公众关于本次验收工程环境保护方面的反馈意见。</w:t>
            </w:r>
          </w:p>
          <w:p>
            <w:pPr>
              <w:spacing w:line="360" w:lineRule="auto"/>
              <w:ind w:firstLine="420" w:firstLineChars="200"/>
              <w:rPr>
                <w:rFonts w:ascii="宋体" w:hAnsi="宋体" w:cs="宋体"/>
                <w:szCs w:val="21"/>
              </w:rPr>
            </w:pPr>
            <w:r>
              <w:rPr>
                <w:rFonts w:ascii="宋体" w:hAnsi="宋体" w:cs="宋体"/>
                <w:szCs w:val="21"/>
              </w:rPr>
              <w:t>（</w:t>
            </w:r>
            <w:r>
              <w:rPr>
                <w:rFonts w:hint="eastAsia" w:ascii="宋体" w:hAnsi="宋体" w:cs="宋体"/>
                <w:szCs w:val="21"/>
              </w:rPr>
              <w:t>9</w:t>
            </w:r>
            <w:r>
              <w:rPr>
                <w:rFonts w:ascii="宋体" w:hAnsi="宋体" w:cs="宋体"/>
                <w:szCs w:val="21"/>
              </w:rPr>
              <w:t>）审批手续及资料完备程度</w:t>
            </w:r>
          </w:p>
          <w:p>
            <w:pPr>
              <w:spacing w:line="360" w:lineRule="auto"/>
              <w:ind w:firstLine="420" w:firstLineChars="200"/>
              <w:rPr>
                <w:rFonts w:ascii="宋体" w:hAnsi="宋体" w:cs="宋体"/>
                <w:szCs w:val="21"/>
              </w:rPr>
            </w:pPr>
            <w:r>
              <w:rPr>
                <w:rFonts w:ascii="宋体" w:hAnsi="宋体" w:cs="宋体"/>
                <w:szCs w:val="21"/>
              </w:rPr>
              <w:t>本次验收工程选址、可行性研究、初步设计、环境影响评价审查、审批手续完备，技术资料与环 境保护档案资料齐全。</w:t>
            </w:r>
          </w:p>
          <w:p>
            <w:pPr>
              <w:spacing w:line="360" w:lineRule="auto"/>
              <w:ind w:firstLine="420" w:firstLineChars="200"/>
              <w:rPr>
                <w:rFonts w:ascii="宋体" w:hAnsi="宋体" w:cs="宋体"/>
                <w:szCs w:val="21"/>
              </w:rPr>
            </w:pPr>
            <w:r>
              <w:rPr>
                <w:rFonts w:ascii="宋体" w:hAnsi="宋体" w:cs="宋体"/>
                <w:szCs w:val="21"/>
              </w:rPr>
              <w:t>（1</w:t>
            </w:r>
            <w:r>
              <w:rPr>
                <w:rFonts w:hint="eastAsia" w:ascii="宋体" w:hAnsi="宋体" w:cs="宋体"/>
                <w:szCs w:val="21"/>
              </w:rPr>
              <w:t>0</w:t>
            </w:r>
            <w:r>
              <w:rPr>
                <w:rFonts w:ascii="宋体" w:hAnsi="宋体" w:cs="宋体"/>
                <w:szCs w:val="21"/>
              </w:rPr>
              <w:t>）调查结论</w:t>
            </w:r>
          </w:p>
          <w:p>
            <w:pPr>
              <w:spacing w:line="360" w:lineRule="auto"/>
              <w:ind w:firstLine="420" w:firstLineChars="200"/>
              <w:rPr>
                <w:rFonts w:ascii="宋体" w:hAnsi="宋体" w:cs="宋体"/>
                <w:szCs w:val="21"/>
              </w:rPr>
            </w:pPr>
            <w:r>
              <w:rPr>
                <w:rFonts w:ascii="宋体" w:hAnsi="宋体" w:cs="宋体"/>
                <w:szCs w:val="21"/>
              </w:rPr>
              <w:t>综上所述，本次验收的</w:t>
            </w:r>
            <w:r>
              <w:rPr>
                <w:rFonts w:hint="eastAsia" w:ascii="宋体" w:hAnsi="宋体" w:cs="宋体"/>
                <w:szCs w:val="21"/>
              </w:rPr>
              <w:t>华润新能源（睢宁）有限公司一期风电项目配套110kV升压站工程</w:t>
            </w:r>
            <w:r>
              <w:rPr>
                <w:rFonts w:ascii="宋体" w:hAnsi="宋体" w:cs="宋体"/>
                <w:color w:val="000000" w:themeColor="text1"/>
                <w:szCs w:val="21"/>
              </w:rPr>
              <w:t>符合《建设项目竣工环境保护验收</w:t>
            </w:r>
            <w:r>
              <w:rPr>
                <w:rFonts w:hint="eastAsia" w:ascii="宋体" w:hAnsi="宋体" w:cs="宋体"/>
                <w:color w:val="000000" w:themeColor="text1"/>
                <w:szCs w:val="21"/>
                <w:lang w:val="en-US" w:eastAsia="zh-CN"/>
              </w:rPr>
              <w:t>技术指南 生态影响类</w:t>
            </w:r>
            <w:r>
              <w:rPr>
                <w:rFonts w:ascii="宋体" w:hAnsi="宋体" w:cs="宋体"/>
                <w:color w:val="000000" w:themeColor="text1"/>
                <w:szCs w:val="21"/>
              </w:rPr>
              <w:t>》（</w:t>
            </w:r>
            <w:r>
              <w:rPr>
                <w:rFonts w:hint="eastAsia" w:ascii="宋体" w:hAnsi="宋体" w:cs="宋体"/>
                <w:color w:val="000000" w:themeColor="text1"/>
                <w:szCs w:val="21"/>
                <w:lang w:val="en-US" w:eastAsia="zh-CN"/>
              </w:rPr>
              <w:t>HJ/T394-2007</w:t>
            </w:r>
            <w:r>
              <w:rPr>
                <w:rFonts w:ascii="宋体" w:hAnsi="宋体" w:cs="宋体"/>
                <w:color w:val="000000" w:themeColor="text1"/>
                <w:szCs w:val="21"/>
              </w:rPr>
              <w:t>）的</w:t>
            </w:r>
            <w:r>
              <w:rPr>
                <w:rFonts w:ascii="宋体" w:hAnsi="宋体" w:cs="宋体"/>
                <w:szCs w:val="21"/>
              </w:rPr>
              <w:t>有关规定，</w:t>
            </w:r>
          </w:p>
          <w:p>
            <w:pPr>
              <w:spacing w:line="360" w:lineRule="auto"/>
              <w:ind w:firstLine="420" w:firstLineChars="200"/>
              <w:rPr>
                <w:szCs w:val="21"/>
              </w:rPr>
            </w:pPr>
            <w:bookmarkStart w:id="25" w:name="_GoBack"/>
            <w:bookmarkEnd w:id="25"/>
            <w:r>
              <w:rPr>
                <w:rFonts w:ascii="宋体" w:hAnsi="宋体" w:cs="宋体"/>
                <w:szCs w:val="21"/>
              </w:rPr>
              <w:t>具备竣工验收的基本条件， 建议通过竣工环境保护验收。</w:t>
            </w:r>
          </w:p>
        </w:tc>
      </w:tr>
      <w:bookmarkEnd w:id="13"/>
      <w:bookmarkEnd w:id="14"/>
    </w:tbl>
    <w:p>
      <w:pPr>
        <w:spacing w:line="360" w:lineRule="auto"/>
        <w:jc w:val="left"/>
        <w:rPr>
          <w:b/>
          <w:sz w:val="24"/>
        </w:rPr>
        <w:sectPr>
          <w:footerReference r:id="rId5" w:type="default"/>
          <w:pgSz w:w="11906" w:h="16838"/>
          <w:pgMar w:top="1134" w:right="1134" w:bottom="1134" w:left="1134" w:header="851" w:footer="992" w:gutter="0"/>
          <w:cols w:space="720" w:num="1"/>
          <w:docGrid w:linePitch="312" w:charSpace="0"/>
        </w:sectPr>
      </w:pPr>
    </w:p>
    <w:p>
      <w:pPr>
        <w:pStyle w:val="4"/>
        <w:tabs>
          <w:tab w:val="left" w:pos="7275"/>
        </w:tabs>
        <w:spacing w:beforeLines="50" w:afterLines="50" w:line="240" w:lineRule="auto"/>
        <w:ind w:left="-210" w:leftChars="-100"/>
        <w:rPr>
          <w:sz w:val="28"/>
          <w:szCs w:val="28"/>
        </w:rPr>
      </w:pPr>
      <w:bookmarkStart w:id="17" w:name="_Toc9475"/>
      <w:r>
        <w:rPr>
          <w:sz w:val="28"/>
          <w:szCs w:val="28"/>
        </w:rPr>
        <w:t>附件1、项目地理位置图</w:t>
      </w:r>
      <w:bookmarkEnd w:id="17"/>
    </w:p>
    <w:p>
      <w:pPr>
        <w:jc w:val="center"/>
      </w:pPr>
      <w:r>
        <w:drawing>
          <wp:inline distT="0" distB="0" distL="114300" distR="114300">
            <wp:extent cx="6342380" cy="5591810"/>
            <wp:effectExtent l="0" t="0" r="1270" b="889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1" cstate="print"/>
                    <a:stretch>
                      <a:fillRect/>
                    </a:stretch>
                  </pic:blipFill>
                  <pic:spPr>
                    <a:xfrm>
                      <a:off x="0" y="0"/>
                      <a:ext cx="6342380" cy="5591810"/>
                    </a:xfrm>
                    <a:prstGeom prst="rect">
                      <a:avLst/>
                    </a:prstGeom>
                    <a:noFill/>
                    <a:ln>
                      <a:noFill/>
                    </a:ln>
                  </pic:spPr>
                </pic:pic>
              </a:graphicData>
            </a:graphic>
          </wp:inline>
        </w:drawing>
      </w:r>
    </w:p>
    <w:p>
      <w:pPr>
        <w:pStyle w:val="6"/>
        <w:jc w:val="center"/>
        <w:sectPr>
          <w:pgSz w:w="16838" w:h="11906" w:orient="landscape"/>
          <w:pgMar w:top="1134" w:right="1134" w:bottom="1134" w:left="1134" w:header="851" w:footer="992" w:gutter="0"/>
          <w:cols w:space="720" w:num="1"/>
          <w:docGrid w:linePitch="312" w:charSpace="0"/>
        </w:sectPr>
      </w:pPr>
    </w:p>
    <w:p>
      <w:pPr>
        <w:pStyle w:val="4"/>
        <w:tabs>
          <w:tab w:val="left" w:pos="7275"/>
        </w:tabs>
        <w:spacing w:beforeLines="50" w:afterLines="50" w:line="240" w:lineRule="auto"/>
        <w:ind w:left="-210" w:leftChars="-100"/>
        <w:rPr>
          <w:sz w:val="28"/>
          <w:szCs w:val="28"/>
        </w:rPr>
      </w:pPr>
      <w:bookmarkStart w:id="18" w:name="_Toc11992"/>
      <w:r>
        <w:rPr>
          <w:sz w:val="28"/>
          <w:szCs w:val="28"/>
        </w:rPr>
        <w:t>附件2、建设项目周边概况图</w:t>
      </w:r>
      <w:bookmarkEnd w:id="18"/>
    </w:p>
    <w:p>
      <w:pPr>
        <w:jc w:val="center"/>
      </w:pPr>
      <w:r>
        <w:pict>
          <v:shape id="_x0000_s1028" o:spid="_x0000_s1028" o:spt="61" type="#_x0000_t61" style="position:absolute;left:0pt;margin-left:456.4pt;margin-top:165.9pt;height:40.5pt;width:76.5pt;z-index:251663360;mso-width-relative:page;mso-height-relative:page;" filled="f" stroked="t" coordsize="21600,21600">
            <v:path/>
            <v:fill on="f" focussize="0,0"/>
            <v:stroke weight="0.5pt" color="#FF0000" dashstyle="dashDot" endarrow="block"/>
            <v:imagedata o:title=""/>
            <o:lock v:ext="edit"/>
            <v:textbox>
              <w:txbxContent>
                <w:p>
                  <w:r>
                    <w:rPr>
                      <w:rFonts w:hint="eastAsia"/>
                      <w:color w:val="FF0000"/>
                    </w:rPr>
                    <w:t>项目所在地</w:t>
                  </w:r>
                </w:p>
              </w:txbxContent>
            </v:textbox>
          </v:shape>
        </w:pict>
      </w:r>
      <w:r>
        <w:drawing>
          <wp:inline distT="0" distB="0" distL="114300" distR="114300">
            <wp:extent cx="7939405" cy="5645150"/>
            <wp:effectExtent l="0" t="0" r="4445" b="1270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2" cstate="print"/>
                    <a:stretch>
                      <a:fillRect/>
                    </a:stretch>
                  </pic:blipFill>
                  <pic:spPr>
                    <a:xfrm>
                      <a:off x="0" y="0"/>
                      <a:ext cx="7939405" cy="5645150"/>
                    </a:xfrm>
                    <a:prstGeom prst="rect">
                      <a:avLst/>
                    </a:prstGeom>
                    <a:noFill/>
                    <a:ln>
                      <a:noFill/>
                    </a:ln>
                  </pic:spPr>
                </pic:pic>
              </a:graphicData>
            </a:graphic>
          </wp:inline>
        </w:drawing>
      </w:r>
    </w:p>
    <w:p/>
    <w:p>
      <w:pPr>
        <w:pStyle w:val="4"/>
        <w:tabs>
          <w:tab w:val="left" w:pos="7275"/>
        </w:tabs>
        <w:spacing w:beforeLines="50" w:afterLines="50" w:line="240" w:lineRule="auto"/>
        <w:ind w:left="-210" w:leftChars="-100"/>
        <w:rPr>
          <w:sz w:val="28"/>
          <w:szCs w:val="28"/>
        </w:rPr>
      </w:pPr>
      <w:bookmarkStart w:id="19" w:name="_Toc1799"/>
      <w:r>
        <w:rPr>
          <w:sz w:val="28"/>
          <w:szCs w:val="28"/>
        </w:rPr>
        <w:t>附件3、建设项目平面布置图</w:t>
      </w:r>
      <w:bookmarkEnd w:id="19"/>
    </w:p>
    <w:p>
      <w:pPr>
        <w:spacing w:line="360" w:lineRule="auto"/>
        <w:jc w:val="center"/>
        <w:rPr>
          <w:b/>
          <w:sz w:val="28"/>
          <w:szCs w:val="28"/>
        </w:rPr>
      </w:pPr>
      <w:r>
        <w:drawing>
          <wp:inline distT="0" distB="0" distL="114300" distR="114300">
            <wp:extent cx="8531225" cy="5414010"/>
            <wp:effectExtent l="0" t="0" r="3175" b="1524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3" cstate="print"/>
                    <a:stretch>
                      <a:fillRect/>
                    </a:stretch>
                  </pic:blipFill>
                  <pic:spPr>
                    <a:xfrm>
                      <a:off x="0" y="0"/>
                      <a:ext cx="8531225" cy="5414010"/>
                    </a:xfrm>
                    <a:prstGeom prst="rect">
                      <a:avLst/>
                    </a:prstGeom>
                    <a:noFill/>
                    <a:ln>
                      <a:noFill/>
                    </a:ln>
                  </pic:spPr>
                </pic:pic>
              </a:graphicData>
            </a:graphic>
          </wp:inline>
        </w:drawing>
      </w:r>
    </w:p>
    <w:p>
      <w:pPr>
        <w:spacing w:line="360" w:lineRule="auto"/>
        <w:rPr>
          <w:b/>
          <w:sz w:val="28"/>
          <w:szCs w:val="28"/>
        </w:rPr>
      </w:pPr>
    </w:p>
    <w:p>
      <w:pPr>
        <w:pStyle w:val="4"/>
        <w:tabs>
          <w:tab w:val="left" w:pos="7275"/>
        </w:tabs>
        <w:spacing w:beforeLines="50" w:afterLines="50" w:line="240" w:lineRule="auto"/>
        <w:ind w:left="-210" w:leftChars="-100"/>
        <w:rPr>
          <w:sz w:val="28"/>
          <w:szCs w:val="28"/>
        </w:rPr>
      </w:pPr>
      <w:bookmarkStart w:id="20" w:name="_Toc3810"/>
      <w:r>
        <w:rPr>
          <w:sz w:val="28"/>
          <w:szCs w:val="28"/>
        </w:rPr>
        <w:t>附件4、建设项目竣工环境保护“三同时”验收登记表</w:t>
      </w:r>
      <w:bookmarkEnd w:id="20"/>
    </w:p>
    <w:p>
      <w:pPr>
        <w:rPr>
          <w:b/>
          <w:szCs w:val="21"/>
        </w:rPr>
      </w:pPr>
      <w:r>
        <w:rPr>
          <w:b/>
          <w:szCs w:val="21"/>
        </w:rPr>
        <w:t>填表单位（盖章）：                                 填表人（签字）：                              项目经办人（签字）：</w:t>
      </w:r>
    </w:p>
    <w:tbl>
      <w:tblPr>
        <w:tblStyle w:val="33"/>
        <w:tblW w:w="15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273"/>
        <w:gridCol w:w="1005"/>
        <w:gridCol w:w="560"/>
        <w:gridCol w:w="522"/>
        <w:gridCol w:w="1083"/>
        <w:gridCol w:w="92"/>
        <w:gridCol w:w="720"/>
        <w:gridCol w:w="271"/>
        <w:gridCol w:w="1083"/>
        <w:gridCol w:w="1044"/>
        <w:gridCol w:w="38"/>
        <w:gridCol w:w="529"/>
        <w:gridCol w:w="554"/>
        <w:gridCol w:w="1083"/>
        <w:gridCol w:w="207"/>
        <w:gridCol w:w="427"/>
        <w:gridCol w:w="449"/>
        <w:gridCol w:w="1083"/>
        <w:gridCol w:w="525"/>
        <w:gridCol w:w="558"/>
        <w:gridCol w:w="392"/>
        <w:gridCol w:w="253"/>
        <w:gridCol w:w="437"/>
        <w:gridCol w:w="443"/>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restart"/>
            <w:textDirection w:val="tbRlV"/>
            <w:vAlign w:val="center"/>
          </w:tcPr>
          <w:p>
            <w:pPr>
              <w:pStyle w:val="118"/>
              <w:rPr>
                <w:rFonts w:ascii="Times New Roman" w:hAnsi="Times New Roman"/>
                <w:b/>
              </w:rPr>
            </w:pPr>
            <w:r>
              <w:rPr>
                <w:rFonts w:ascii="Times New Roman" w:hAnsi="Times New Roman"/>
                <w:b/>
              </w:rPr>
              <w:t>建设项目</w:t>
            </w:r>
          </w:p>
        </w:tc>
        <w:tc>
          <w:tcPr>
            <w:tcW w:w="2278" w:type="dxa"/>
            <w:gridSpan w:val="2"/>
            <w:vAlign w:val="center"/>
          </w:tcPr>
          <w:p>
            <w:pPr>
              <w:pStyle w:val="118"/>
              <w:rPr>
                <w:rFonts w:ascii="Times New Roman" w:hAnsi="Times New Roman"/>
                <w:b/>
              </w:rPr>
            </w:pPr>
            <w:r>
              <w:rPr>
                <w:rFonts w:ascii="Times New Roman" w:hAnsi="Times New Roman"/>
                <w:b/>
              </w:rPr>
              <w:t>项目名称</w:t>
            </w:r>
          </w:p>
        </w:tc>
        <w:tc>
          <w:tcPr>
            <w:tcW w:w="2977" w:type="dxa"/>
            <w:gridSpan w:val="5"/>
            <w:vAlign w:val="center"/>
          </w:tcPr>
          <w:p>
            <w:pPr>
              <w:pStyle w:val="118"/>
              <w:rPr>
                <w:rFonts w:ascii="Times New Roman" w:hAnsi="Times New Roman"/>
              </w:rPr>
            </w:pPr>
            <w:r>
              <w:rPr>
                <w:rFonts w:hint="eastAsia" w:ascii="Times New Roman" w:hAnsi="Times New Roman"/>
              </w:rPr>
              <w:t>华润新能源（睢宁）有限公司一期风电项目配套110kV升压站工程</w:t>
            </w:r>
          </w:p>
        </w:tc>
        <w:tc>
          <w:tcPr>
            <w:tcW w:w="2398" w:type="dxa"/>
            <w:gridSpan w:val="3"/>
            <w:vAlign w:val="center"/>
          </w:tcPr>
          <w:p>
            <w:pPr>
              <w:pStyle w:val="118"/>
              <w:rPr>
                <w:rFonts w:ascii="Times New Roman" w:hAnsi="Times New Roman"/>
                <w:b/>
              </w:rPr>
            </w:pPr>
            <w:r>
              <w:rPr>
                <w:rFonts w:ascii="Times New Roman" w:hAnsi="Times New Roman"/>
                <w:b/>
              </w:rPr>
              <w:t>项目代码</w:t>
            </w:r>
          </w:p>
        </w:tc>
        <w:tc>
          <w:tcPr>
            <w:tcW w:w="2838" w:type="dxa"/>
            <w:gridSpan w:val="6"/>
            <w:vAlign w:val="center"/>
          </w:tcPr>
          <w:p>
            <w:pPr>
              <w:pStyle w:val="118"/>
              <w:rPr>
                <w:rFonts w:ascii="Times New Roman" w:hAnsi="Times New Roman"/>
              </w:rPr>
            </w:pPr>
            <w:r>
              <w:rPr>
                <w:rFonts w:hint="eastAsia" w:ascii="Times New Roman" w:hAnsi="Times New Roman"/>
                <w:color w:val="000000" w:themeColor="text1"/>
              </w:rPr>
              <w:t>/</w:t>
            </w:r>
          </w:p>
        </w:tc>
        <w:tc>
          <w:tcPr>
            <w:tcW w:w="2057" w:type="dxa"/>
            <w:gridSpan w:val="3"/>
            <w:vAlign w:val="center"/>
          </w:tcPr>
          <w:p>
            <w:pPr>
              <w:pStyle w:val="118"/>
              <w:rPr>
                <w:rFonts w:ascii="Times New Roman" w:hAnsi="Times New Roman"/>
                <w:b/>
              </w:rPr>
            </w:pPr>
            <w:r>
              <w:rPr>
                <w:rFonts w:ascii="Times New Roman" w:hAnsi="Times New Roman"/>
                <w:b/>
              </w:rPr>
              <w:t>建设地点</w:t>
            </w:r>
          </w:p>
        </w:tc>
        <w:tc>
          <w:tcPr>
            <w:tcW w:w="2772" w:type="dxa"/>
            <w:gridSpan w:val="6"/>
            <w:vAlign w:val="center"/>
          </w:tcPr>
          <w:p>
            <w:pPr>
              <w:pStyle w:val="118"/>
              <w:rPr>
                <w:rFonts w:ascii="Times New Roman" w:hAnsi="Times New Roman"/>
              </w:rPr>
            </w:pPr>
            <w:r>
              <w:rPr>
                <w:rFonts w:hint="eastAsia" w:ascii="Times New Roman" w:hAnsi="Times New Roman"/>
                <w:color w:val="000000"/>
                <w:szCs w:val="21"/>
              </w:rPr>
              <w:t>睢宁县高作镇官杨村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行业类别（分类管理名录）</w:t>
            </w:r>
          </w:p>
        </w:tc>
        <w:tc>
          <w:tcPr>
            <w:tcW w:w="2977" w:type="dxa"/>
            <w:gridSpan w:val="5"/>
            <w:vAlign w:val="center"/>
          </w:tcPr>
          <w:p>
            <w:pPr>
              <w:pStyle w:val="118"/>
              <w:rPr>
                <w:rFonts w:ascii="Times New Roman" w:hAnsi="Times New Roman"/>
              </w:rPr>
            </w:pPr>
            <w:r>
              <w:rPr>
                <w:rFonts w:hint="eastAsia" w:ascii="Times New Roman" w:hAnsi="Times New Roman"/>
              </w:rPr>
              <w:t>电力供应业 D4420</w:t>
            </w:r>
          </w:p>
        </w:tc>
        <w:tc>
          <w:tcPr>
            <w:tcW w:w="2398" w:type="dxa"/>
            <w:gridSpan w:val="3"/>
            <w:vAlign w:val="center"/>
          </w:tcPr>
          <w:p>
            <w:pPr>
              <w:pStyle w:val="118"/>
              <w:rPr>
                <w:rFonts w:ascii="Times New Roman" w:hAnsi="Times New Roman"/>
              </w:rPr>
            </w:pPr>
            <w:r>
              <w:rPr>
                <w:rFonts w:hint="eastAsia" w:ascii="Times New Roman" w:hAnsi="Times New Roman"/>
              </w:rPr>
              <w:t>建设性质</w:t>
            </w:r>
          </w:p>
        </w:tc>
        <w:tc>
          <w:tcPr>
            <w:tcW w:w="4895" w:type="dxa"/>
            <w:gridSpan w:val="9"/>
            <w:vAlign w:val="center"/>
          </w:tcPr>
          <w:p>
            <w:pPr>
              <w:pStyle w:val="118"/>
              <w:rPr>
                <w:rFonts w:ascii="Times New Roman" w:hAnsi="Times New Roman"/>
              </w:rPr>
            </w:pPr>
            <w:r>
              <w:rPr>
                <w:rFonts w:hint="eastAsia" w:ascii="Times New Roman" w:hAnsi="Times New Roman"/>
              </w:rPr>
              <w:t>（</w:t>
            </w:r>
            <w:r>
              <w:rPr>
                <w:rFonts w:ascii="Times New Roman" w:hAnsi="Times New Roman"/>
              </w:rPr>
              <w:t xml:space="preserve">新建 </w:t>
            </w:r>
            <w:r>
              <w:rPr>
                <w:rFonts w:hint="eastAsia" w:ascii="Times New Roman" w:hAnsi="Times New Roman"/>
              </w:rPr>
              <w:t>（</w:t>
            </w:r>
            <w:r>
              <w:rPr>
                <w:rFonts w:ascii="Times New Roman" w:hAnsi="Times New Roman"/>
              </w:rPr>
              <w:t xml:space="preserve">改扩建 </w:t>
            </w:r>
            <w:r>
              <w:rPr>
                <w:rFonts w:hint="eastAsia" w:ascii="Times New Roman" w:hAnsi="Times New Roman"/>
              </w:rPr>
              <w:t xml:space="preserve"> （</w:t>
            </w:r>
            <w:r>
              <w:rPr>
                <w:rFonts w:ascii="Times New Roman" w:hAnsi="Times New Roman"/>
              </w:rPr>
              <w:t>技术改造</w:t>
            </w:r>
          </w:p>
        </w:tc>
        <w:tc>
          <w:tcPr>
            <w:tcW w:w="1203" w:type="dxa"/>
            <w:gridSpan w:val="3"/>
            <w:vAlign w:val="center"/>
          </w:tcPr>
          <w:p>
            <w:pPr>
              <w:pStyle w:val="118"/>
              <w:rPr>
                <w:rFonts w:ascii="Times New Roman" w:hAnsi="Times New Roman"/>
              </w:rPr>
            </w:pPr>
            <w:r>
              <w:rPr>
                <w:rFonts w:ascii="Times New Roman" w:hAnsi="Times New Roman"/>
              </w:rPr>
              <w:t>项目厂区中心经度/纬度</w:t>
            </w:r>
          </w:p>
        </w:tc>
        <w:tc>
          <w:tcPr>
            <w:tcW w:w="1569" w:type="dxa"/>
            <w:gridSpan w:val="3"/>
            <w:vAlign w:val="center"/>
          </w:tcPr>
          <w:p>
            <w:pPr>
              <w:pStyle w:val="118"/>
              <w:rPr>
                <w:rFonts w:ascii="Times New Roman" w:hAnsi="Times New Roman"/>
              </w:rPr>
            </w:pPr>
            <w:r>
              <w:rPr>
                <w:rFonts w:hint="eastAsia" w:ascii="Times New Roman" w:hAnsi="Times New Roman"/>
                <w:color w:val="000000"/>
              </w:rPr>
              <w:t>118.052098</w:t>
            </w:r>
            <w:r>
              <w:rPr>
                <w:rFonts w:ascii="Times New Roman" w:hAnsi="Times New Roman"/>
                <w:color w:val="000000"/>
              </w:rPr>
              <w:t>E；</w:t>
            </w:r>
            <w:r>
              <w:rPr>
                <w:rFonts w:hint="eastAsia" w:ascii="Times New Roman" w:hAnsi="Times New Roman"/>
                <w:bCs/>
              </w:rPr>
              <w:t>33.915816</w:t>
            </w:r>
            <w:r>
              <w:rPr>
                <w:rFonts w:ascii="Times New Roman" w:hAnsi="Times New Roman"/>
                <w:bCs/>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设计生产能力</w:t>
            </w:r>
          </w:p>
        </w:tc>
        <w:tc>
          <w:tcPr>
            <w:tcW w:w="2977" w:type="dxa"/>
            <w:gridSpan w:val="5"/>
            <w:vAlign w:val="center"/>
          </w:tcPr>
          <w:p>
            <w:pPr>
              <w:pStyle w:val="118"/>
              <w:rPr>
                <w:rFonts w:ascii="Times New Roman" w:hAnsi="Times New Roman"/>
              </w:rPr>
            </w:pPr>
            <w:r>
              <w:rPr>
                <w:rFonts w:hint="eastAsia"/>
                <w:color w:val="000000" w:themeColor="text1"/>
                <w:szCs w:val="21"/>
              </w:rPr>
              <w:t>主变容量50MVA</w:t>
            </w:r>
          </w:p>
        </w:tc>
        <w:tc>
          <w:tcPr>
            <w:tcW w:w="2398" w:type="dxa"/>
            <w:gridSpan w:val="3"/>
            <w:vAlign w:val="center"/>
          </w:tcPr>
          <w:p>
            <w:pPr>
              <w:pStyle w:val="118"/>
              <w:rPr>
                <w:rFonts w:ascii="Times New Roman" w:hAnsi="Times New Roman"/>
                <w:b/>
              </w:rPr>
            </w:pPr>
            <w:r>
              <w:rPr>
                <w:rFonts w:ascii="Times New Roman" w:hAnsi="Times New Roman"/>
                <w:b/>
              </w:rPr>
              <w:t>实际生产能力</w:t>
            </w:r>
          </w:p>
        </w:tc>
        <w:tc>
          <w:tcPr>
            <w:tcW w:w="2838" w:type="dxa"/>
            <w:gridSpan w:val="6"/>
            <w:vAlign w:val="center"/>
          </w:tcPr>
          <w:p>
            <w:pPr>
              <w:pStyle w:val="118"/>
              <w:rPr>
                <w:rFonts w:ascii="Times New Roman" w:hAnsi="Times New Roman"/>
              </w:rPr>
            </w:pPr>
            <w:r>
              <w:rPr>
                <w:rFonts w:hint="eastAsia"/>
                <w:color w:val="000000" w:themeColor="text1"/>
                <w:szCs w:val="21"/>
              </w:rPr>
              <w:t>主变容量50MVA</w:t>
            </w:r>
          </w:p>
        </w:tc>
        <w:tc>
          <w:tcPr>
            <w:tcW w:w="2057" w:type="dxa"/>
            <w:gridSpan w:val="3"/>
            <w:vAlign w:val="center"/>
          </w:tcPr>
          <w:p>
            <w:pPr>
              <w:pStyle w:val="118"/>
              <w:rPr>
                <w:rFonts w:ascii="Times New Roman" w:hAnsi="Times New Roman"/>
                <w:b/>
              </w:rPr>
            </w:pPr>
            <w:r>
              <w:rPr>
                <w:rFonts w:ascii="Times New Roman" w:hAnsi="Times New Roman"/>
                <w:b/>
              </w:rPr>
              <w:t>环评单位</w:t>
            </w:r>
          </w:p>
        </w:tc>
        <w:tc>
          <w:tcPr>
            <w:tcW w:w="2772" w:type="dxa"/>
            <w:gridSpan w:val="6"/>
            <w:vAlign w:val="center"/>
          </w:tcPr>
          <w:p>
            <w:pPr>
              <w:pStyle w:val="118"/>
              <w:rPr>
                <w:rFonts w:ascii="Times New Roman" w:hAnsi="Times New Roman"/>
              </w:rPr>
            </w:pPr>
            <w:r>
              <w:rPr>
                <w:rFonts w:hint="eastAsia" w:ascii="Times New Roman" w:hAnsi="Times New Roman"/>
              </w:rPr>
              <w:t>江苏玖清玖蓝环保科技有限公司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环评文件审批机关</w:t>
            </w:r>
          </w:p>
        </w:tc>
        <w:tc>
          <w:tcPr>
            <w:tcW w:w="2977" w:type="dxa"/>
            <w:gridSpan w:val="5"/>
            <w:vAlign w:val="center"/>
          </w:tcPr>
          <w:p>
            <w:pPr>
              <w:pStyle w:val="118"/>
              <w:rPr>
                <w:rFonts w:ascii="Times New Roman" w:hAnsi="Times New Roman"/>
              </w:rPr>
            </w:pPr>
            <w:r>
              <w:rPr>
                <w:rFonts w:hint="eastAsia"/>
                <w:szCs w:val="21"/>
              </w:rPr>
              <w:t>徐州市生态环境局</w:t>
            </w:r>
          </w:p>
        </w:tc>
        <w:tc>
          <w:tcPr>
            <w:tcW w:w="2398" w:type="dxa"/>
            <w:gridSpan w:val="3"/>
            <w:vAlign w:val="center"/>
          </w:tcPr>
          <w:p>
            <w:pPr>
              <w:pStyle w:val="118"/>
              <w:rPr>
                <w:rFonts w:ascii="Times New Roman" w:hAnsi="Times New Roman"/>
                <w:b/>
              </w:rPr>
            </w:pPr>
            <w:r>
              <w:rPr>
                <w:rFonts w:ascii="Times New Roman" w:hAnsi="Times New Roman"/>
                <w:b/>
              </w:rPr>
              <w:t>审批文号</w:t>
            </w:r>
          </w:p>
        </w:tc>
        <w:tc>
          <w:tcPr>
            <w:tcW w:w="2838" w:type="dxa"/>
            <w:gridSpan w:val="6"/>
            <w:vAlign w:val="center"/>
          </w:tcPr>
          <w:p>
            <w:pPr>
              <w:pStyle w:val="118"/>
              <w:rPr>
                <w:rFonts w:ascii="Times New Roman" w:hAnsi="Times New Roman"/>
              </w:rPr>
            </w:pPr>
            <w:r>
              <w:rPr>
                <w:rFonts w:hint="eastAsia"/>
                <w:color w:val="000000" w:themeColor="text1"/>
                <w:szCs w:val="21"/>
              </w:rPr>
              <w:t>徐环辐（表）审[2020]029号</w:t>
            </w:r>
          </w:p>
        </w:tc>
        <w:tc>
          <w:tcPr>
            <w:tcW w:w="2057" w:type="dxa"/>
            <w:gridSpan w:val="3"/>
            <w:vAlign w:val="center"/>
          </w:tcPr>
          <w:p>
            <w:pPr>
              <w:pStyle w:val="118"/>
              <w:rPr>
                <w:rFonts w:ascii="Times New Roman" w:hAnsi="Times New Roman"/>
                <w:b/>
              </w:rPr>
            </w:pPr>
            <w:r>
              <w:rPr>
                <w:rFonts w:ascii="Times New Roman" w:hAnsi="Times New Roman"/>
                <w:b/>
              </w:rPr>
              <w:t>环评文件类型</w:t>
            </w:r>
          </w:p>
        </w:tc>
        <w:tc>
          <w:tcPr>
            <w:tcW w:w="2772" w:type="dxa"/>
            <w:gridSpan w:val="6"/>
            <w:vAlign w:val="center"/>
          </w:tcPr>
          <w:p>
            <w:pPr>
              <w:pStyle w:val="118"/>
              <w:rPr>
                <w:rFonts w:ascii="Times New Roman" w:hAnsi="Times New Roman"/>
              </w:rPr>
            </w:pPr>
            <w:r>
              <w:rPr>
                <w:rFonts w:ascii="Times New Roman" w:hAnsi="Times New Roma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开工日期</w:t>
            </w:r>
          </w:p>
        </w:tc>
        <w:tc>
          <w:tcPr>
            <w:tcW w:w="2977" w:type="dxa"/>
            <w:gridSpan w:val="5"/>
            <w:vAlign w:val="center"/>
          </w:tcPr>
          <w:p>
            <w:pPr>
              <w:pStyle w:val="118"/>
              <w:rPr>
                <w:rFonts w:ascii="Times New Roman" w:hAnsi="Times New Roman"/>
              </w:rPr>
            </w:pPr>
            <w:r>
              <w:rPr>
                <w:rFonts w:ascii="Times New Roman" w:hAnsi="Times New Roman"/>
              </w:rPr>
              <w:t>20</w:t>
            </w:r>
            <w:r>
              <w:rPr>
                <w:rFonts w:hint="eastAsia" w:ascii="Times New Roman" w:hAnsi="Times New Roman"/>
              </w:rPr>
              <w:t>20</w:t>
            </w:r>
            <w:r>
              <w:rPr>
                <w:rFonts w:ascii="Times New Roman" w:hAnsi="Times New Roman"/>
              </w:rPr>
              <w:t>.0</w:t>
            </w:r>
            <w:r>
              <w:rPr>
                <w:rFonts w:hint="eastAsia" w:ascii="Times New Roman" w:hAnsi="Times New Roman"/>
              </w:rPr>
              <w:t>8</w:t>
            </w:r>
          </w:p>
        </w:tc>
        <w:tc>
          <w:tcPr>
            <w:tcW w:w="2398" w:type="dxa"/>
            <w:gridSpan w:val="3"/>
            <w:vAlign w:val="center"/>
          </w:tcPr>
          <w:p>
            <w:pPr>
              <w:pStyle w:val="118"/>
              <w:rPr>
                <w:rFonts w:ascii="Times New Roman" w:hAnsi="Times New Roman"/>
                <w:b/>
              </w:rPr>
            </w:pPr>
            <w:r>
              <w:rPr>
                <w:rFonts w:ascii="Times New Roman" w:hAnsi="Times New Roman"/>
                <w:b/>
              </w:rPr>
              <w:t>竣工日期</w:t>
            </w:r>
          </w:p>
        </w:tc>
        <w:tc>
          <w:tcPr>
            <w:tcW w:w="2838" w:type="dxa"/>
            <w:gridSpan w:val="6"/>
            <w:vAlign w:val="center"/>
          </w:tcPr>
          <w:p>
            <w:pPr>
              <w:pStyle w:val="118"/>
              <w:rPr>
                <w:rFonts w:ascii="Times New Roman" w:hAnsi="Times New Roman"/>
              </w:rPr>
            </w:pPr>
            <w:r>
              <w:rPr>
                <w:rFonts w:ascii="Times New Roman" w:hAnsi="Times New Roman"/>
              </w:rPr>
              <w:t>20</w:t>
            </w:r>
            <w:r>
              <w:rPr>
                <w:rFonts w:hint="eastAsia" w:ascii="Times New Roman" w:hAnsi="Times New Roman"/>
              </w:rPr>
              <w:t>21.10</w:t>
            </w:r>
          </w:p>
        </w:tc>
        <w:tc>
          <w:tcPr>
            <w:tcW w:w="2057" w:type="dxa"/>
            <w:gridSpan w:val="3"/>
            <w:vAlign w:val="center"/>
          </w:tcPr>
          <w:p>
            <w:pPr>
              <w:pStyle w:val="118"/>
              <w:rPr>
                <w:rFonts w:ascii="Times New Roman" w:hAnsi="Times New Roman"/>
                <w:b/>
              </w:rPr>
            </w:pPr>
            <w:r>
              <w:rPr>
                <w:rFonts w:ascii="Times New Roman" w:hAnsi="Times New Roman"/>
                <w:b/>
              </w:rPr>
              <w:t>排污许可证申领时间</w:t>
            </w:r>
          </w:p>
        </w:tc>
        <w:tc>
          <w:tcPr>
            <w:tcW w:w="2772" w:type="dxa"/>
            <w:gridSpan w:val="6"/>
            <w:vAlign w:val="center"/>
          </w:tcPr>
          <w:p>
            <w:pPr>
              <w:pStyle w:val="118"/>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环保设施设计单位</w:t>
            </w:r>
          </w:p>
        </w:tc>
        <w:tc>
          <w:tcPr>
            <w:tcW w:w="2977" w:type="dxa"/>
            <w:gridSpan w:val="5"/>
            <w:vAlign w:val="center"/>
          </w:tcPr>
          <w:p>
            <w:pPr>
              <w:pStyle w:val="118"/>
              <w:rPr>
                <w:rFonts w:ascii="Times New Roman" w:hAnsi="Times New Roman"/>
              </w:rPr>
            </w:pPr>
            <w:r>
              <w:rPr>
                <w:rFonts w:hint="eastAsia"/>
                <w:szCs w:val="21"/>
              </w:rPr>
              <w:t>/</w:t>
            </w:r>
          </w:p>
        </w:tc>
        <w:tc>
          <w:tcPr>
            <w:tcW w:w="2398" w:type="dxa"/>
            <w:gridSpan w:val="3"/>
            <w:vAlign w:val="center"/>
          </w:tcPr>
          <w:p>
            <w:pPr>
              <w:pStyle w:val="118"/>
              <w:rPr>
                <w:rFonts w:ascii="Times New Roman" w:hAnsi="Times New Roman"/>
                <w:b/>
              </w:rPr>
            </w:pPr>
            <w:r>
              <w:rPr>
                <w:rFonts w:ascii="Times New Roman" w:hAnsi="Times New Roman"/>
                <w:b/>
              </w:rPr>
              <w:t>环保设施施工单位</w:t>
            </w:r>
          </w:p>
        </w:tc>
        <w:tc>
          <w:tcPr>
            <w:tcW w:w="2838" w:type="dxa"/>
            <w:gridSpan w:val="6"/>
            <w:vAlign w:val="center"/>
          </w:tcPr>
          <w:p>
            <w:pPr>
              <w:pStyle w:val="118"/>
              <w:rPr>
                <w:rFonts w:ascii="Times New Roman" w:hAnsi="Times New Roman"/>
              </w:rPr>
            </w:pPr>
            <w:r>
              <w:rPr>
                <w:rFonts w:hint="eastAsia"/>
                <w:szCs w:val="21"/>
              </w:rPr>
              <w:t>/</w:t>
            </w:r>
          </w:p>
        </w:tc>
        <w:tc>
          <w:tcPr>
            <w:tcW w:w="2057" w:type="dxa"/>
            <w:gridSpan w:val="3"/>
            <w:vAlign w:val="center"/>
          </w:tcPr>
          <w:p>
            <w:pPr>
              <w:pStyle w:val="118"/>
              <w:rPr>
                <w:rFonts w:ascii="Times New Roman" w:hAnsi="Times New Roman"/>
                <w:b/>
              </w:rPr>
            </w:pPr>
            <w:r>
              <w:rPr>
                <w:rFonts w:ascii="Times New Roman" w:hAnsi="Times New Roman"/>
                <w:b/>
              </w:rPr>
              <w:t>本工程排污许可证编号</w:t>
            </w:r>
          </w:p>
        </w:tc>
        <w:tc>
          <w:tcPr>
            <w:tcW w:w="2772" w:type="dxa"/>
            <w:gridSpan w:val="6"/>
            <w:vAlign w:val="center"/>
          </w:tcPr>
          <w:p>
            <w:pPr>
              <w:pStyle w:val="118"/>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验收单位</w:t>
            </w:r>
          </w:p>
        </w:tc>
        <w:tc>
          <w:tcPr>
            <w:tcW w:w="2977" w:type="dxa"/>
            <w:gridSpan w:val="5"/>
            <w:vAlign w:val="center"/>
          </w:tcPr>
          <w:p>
            <w:pPr>
              <w:pStyle w:val="118"/>
              <w:rPr>
                <w:rFonts w:ascii="Times New Roman" w:hAnsi="Times New Roman"/>
              </w:rPr>
            </w:pPr>
            <w:r>
              <w:rPr>
                <w:rFonts w:hint="eastAsia" w:ascii="Times New Roman" w:hAnsi="Times New Roman"/>
              </w:rPr>
              <w:t>华润新能源（睢宁）有限公司</w:t>
            </w:r>
          </w:p>
        </w:tc>
        <w:tc>
          <w:tcPr>
            <w:tcW w:w="2398" w:type="dxa"/>
            <w:gridSpan w:val="3"/>
            <w:vAlign w:val="center"/>
          </w:tcPr>
          <w:p>
            <w:pPr>
              <w:pStyle w:val="118"/>
              <w:rPr>
                <w:rFonts w:ascii="Times New Roman" w:hAnsi="Times New Roman"/>
                <w:b/>
              </w:rPr>
            </w:pPr>
            <w:r>
              <w:rPr>
                <w:rFonts w:ascii="Times New Roman" w:hAnsi="Times New Roman"/>
                <w:b/>
              </w:rPr>
              <w:t>环保设施监测单位</w:t>
            </w:r>
          </w:p>
        </w:tc>
        <w:tc>
          <w:tcPr>
            <w:tcW w:w="2838" w:type="dxa"/>
            <w:gridSpan w:val="6"/>
            <w:vAlign w:val="center"/>
          </w:tcPr>
          <w:p>
            <w:pPr>
              <w:pStyle w:val="118"/>
              <w:rPr>
                <w:rFonts w:ascii="Times New Roman" w:hAnsi="Times New Roman"/>
              </w:rPr>
            </w:pPr>
            <w:r>
              <w:rPr>
                <w:rFonts w:hint="eastAsia" w:ascii="Times New Roman" w:hAnsi="Times New Roman"/>
              </w:rPr>
              <w:t>江苏皓翔环境检测有限公司、普研（上海）标准技术服务有限公司</w:t>
            </w:r>
          </w:p>
        </w:tc>
        <w:tc>
          <w:tcPr>
            <w:tcW w:w="2057" w:type="dxa"/>
            <w:gridSpan w:val="3"/>
            <w:vAlign w:val="center"/>
          </w:tcPr>
          <w:p>
            <w:pPr>
              <w:pStyle w:val="118"/>
              <w:rPr>
                <w:rFonts w:ascii="Times New Roman" w:hAnsi="Times New Roman"/>
                <w:b/>
              </w:rPr>
            </w:pPr>
            <w:r>
              <w:rPr>
                <w:rFonts w:ascii="Times New Roman" w:hAnsi="Times New Roman"/>
                <w:b/>
              </w:rPr>
              <w:t>验收监测时工况</w:t>
            </w:r>
          </w:p>
        </w:tc>
        <w:tc>
          <w:tcPr>
            <w:tcW w:w="2772" w:type="dxa"/>
            <w:gridSpan w:val="6"/>
            <w:vAlign w:val="center"/>
          </w:tcPr>
          <w:p>
            <w:pPr>
              <w:pStyle w:val="118"/>
              <w:rPr>
                <w:rFonts w:ascii="Times New Roman" w:hAnsi="Times New Roman"/>
              </w:rPr>
            </w:pPr>
            <w:r>
              <w:rPr>
                <w:rFonts w:hint="eastAsia" w:ascii="Times New Roman" w:hAnsi="Times New Roman"/>
              </w:rPr>
              <w:t>正常运行工况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投资总概算（万元）</w:t>
            </w:r>
          </w:p>
        </w:tc>
        <w:tc>
          <w:tcPr>
            <w:tcW w:w="2977" w:type="dxa"/>
            <w:gridSpan w:val="5"/>
            <w:vAlign w:val="center"/>
          </w:tcPr>
          <w:p>
            <w:pPr>
              <w:pStyle w:val="118"/>
              <w:rPr>
                <w:rFonts w:ascii="Times New Roman" w:hAnsi="Times New Roman"/>
              </w:rPr>
            </w:pPr>
            <w:r>
              <w:rPr>
                <w:rFonts w:hint="eastAsia" w:ascii="Times New Roman" w:hAnsi="Times New Roman"/>
              </w:rPr>
              <w:t>2781.4</w:t>
            </w:r>
          </w:p>
        </w:tc>
        <w:tc>
          <w:tcPr>
            <w:tcW w:w="2398" w:type="dxa"/>
            <w:gridSpan w:val="3"/>
            <w:vAlign w:val="center"/>
          </w:tcPr>
          <w:p>
            <w:pPr>
              <w:pStyle w:val="118"/>
              <w:rPr>
                <w:rFonts w:ascii="Times New Roman" w:hAnsi="Times New Roman"/>
                <w:b/>
              </w:rPr>
            </w:pPr>
            <w:r>
              <w:rPr>
                <w:rFonts w:ascii="Times New Roman" w:hAnsi="Times New Roman"/>
                <w:b/>
              </w:rPr>
              <w:t>环保投资总概算（万元）</w:t>
            </w:r>
          </w:p>
        </w:tc>
        <w:tc>
          <w:tcPr>
            <w:tcW w:w="2838" w:type="dxa"/>
            <w:gridSpan w:val="6"/>
            <w:vAlign w:val="center"/>
          </w:tcPr>
          <w:p>
            <w:pPr>
              <w:pStyle w:val="118"/>
              <w:rPr>
                <w:rFonts w:ascii="Times New Roman" w:hAnsi="Times New Roman"/>
              </w:rPr>
            </w:pPr>
            <w:r>
              <w:rPr>
                <w:rFonts w:hint="eastAsia" w:ascii="Times New Roman" w:hAnsi="Times New Roman"/>
              </w:rPr>
              <w:t>38</w:t>
            </w:r>
          </w:p>
        </w:tc>
        <w:tc>
          <w:tcPr>
            <w:tcW w:w="2057" w:type="dxa"/>
            <w:gridSpan w:val="3"/>
            <w:vAlign w:val="center"/>
          </w:tcPr>
          <w:p>
            <w:pPr>
              <w:pStyle w:val="118"/>
              <w:rPr>
                <w:rFonts w:ascii="Times New Roman" w:hAnsi="Times New Roman"/>
                <w:b/>
              </w:rPr>
            </w:pPr>
            <w:r>
              <w:rPr>
                <w:rFonts w:ascii="Times New Roman" w:hAnsi="Times New Roman"/>
                <w:b/>
              </w:rPr>
              <w:t>所占比例（%）</w:t>
            </w:r>
          </w:p>
        </w:tc>
        <w:tc>
          <w:tcPr>
            <w:tcW w:w="2772" w:type="dxa"/>
            <w:gridSpan w:val="6"/>
            <w:vAlign w:val="center"/>
          </w:tcPr>
          <w:p>
            <w:pPr>
              <w:pStyle w:val="118"/>
              <w:rPr>
                <w:rFonts w:ascii="Times New Roman" w:hAnsi="Times New Roman"/>
              </w:rPr>
            </w:pPr>
            <w:r>
              <w:rPr>
                <w:rFonts w:hint="eastAsia" w:ascii="Times New Roman" w:hAnsi="Times New Roma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实际总投资（万元）</w:t>
            </w:r>
          </w:p>
        </w:tc>
        <w:tc>
          <w:tcPr>
            <w:tcW w:w="2977" w:type="dxa"/>
            <w:gridSpan w:val="5"/>
            <w:vAlign w:val="center"/>
          </w:tcPr>
          <w:p>
            <w:pPr>
              <w:pStyle w:val="118"/>
              <w:rPr>
                <w:rFonts w:ascii="Times New Roman" w:hAnsi="Times New Roman"/>
              </w:rPr>
            </w:pPr>
            <w:r>
              <w:rPr>
                <w:rFonts w:hint="eastAsia" w:ascii="Times New Roman" w:hAnsi="Times New Roman"/>
              </w:rPr>
              <w:t>2781.4</w:t>
            </w:r>
          </w:p>
        </w:tc>
        <w:tc>
          <w:tcPr>
            <w:tcW w:w="2398" w:type="dxa"/>
            <w:gridSpan w:val="3"/>
            <w:vAlign w:val="center"/>
          </w:tcPr>
          <w:p>
            <w:pPr>
              <w:pStyle w:val="118"/>
              <w:rPr>
                <w:rFonts w:ascii="Times New Roman" w:hAnsi="Times New Roman"/>
                <w:b/>
              </w:rPr>
            </w:pPr>
            <w:r>
              <w:rPr>
                <w:rFonts w:ascii="Times New Roman" w:hAnsi="Times New Roman"/>
                <w:b/>
              </w:rPr>
              <w:t>实际环保投资（万元）</w:t>
            </w:r>
          </w:p>
        </w:tc>
        <w:tc>
          <w:tcPr>
            <w:tcW w:w="2838" w:type="dxa"/>
            <w:gridSpan w:val="6"/>
            <w:vAlign w:val="center"/>
          </w:tcPr>
          <w:p>
            <w:pPr>
              <w:pStyle w:val="118"/>
              <w:rPr>
                <w:rFonts w:ascii="Times New Roman" w:hAnsi="Times New Roman"/>
              </w:rPr>
            </w:pPr>
            <w:r>
              <w:rPr>
                <w:rFonts w:hint="eastAsia" w:ascii="Times New Roman" w:hAnsi="Times New Roman"/>
              </w:rPr>
              <w:t>38</w:t>
            </w:r>
          </w:p>
        </w:tc>
        <w:tc>
          <w:tcPr>
            <w:tcW w:w="2057" w:type="dxa"/>
            <w:gridSpan w:val="3"/>
            <w:vAlign w:val="center"/>
          </w:tcPr>
          <w:p>
            <w:pPr>
              <w:pStyle w:val="118"/>
              <w:rPr>
                <w:rFonts w:ascii="Times New Roman" w:hAnsi="Times New Roman"/>
                <w:b/>
              </w:rPr>
            </w:pPr>
            <w:r>
              <w:rPr>
                <w:rFonts w:ascii="Times New Roman" w:hAnsi="Times New Roman"/>
                <w:b/>
              </w:rPr>
              <w:t>所占比例（%）</w:t>
            </w:r>
          </w:p>
        </w:tc>
        <w:tc>
          <w:tcPr>
            <w:tcW w:w="2772" w:type="dxa"/>
            <w:gridSpan w:val="6"/>
            <w:vAlign w:val="center"/>
          </w:tcPr>
          <w:p>
            <w:pPr>
              <w:pStyle w:val="118"/>
              <w:rPr>
                <w:rFonts w:ascii="Times New Roman" w:hAnsi="Times New Roman"/>
              </w:rPr>
            </w:pPr>
            <w:r>
              <w:rPr>
                <w:rFonts w:hint="eastAsia" w:ascii="Times New Roman" w:hAnsi="Times New Roma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废水治理（万元）</w:t>
            </w:r>
          </w:p>
        </w:tc>
        <w:tc>
          <w:tcPr>
            <w:tcW w:w="560" w:type="dxa"/>
            <w:vAlign w:val="center"/>
          </w:tcPr>
          <w:p>
            <w:pPr>
              <w:pStyle w:val="118"/>
              <w:rPr>
                <w:rFonts w:ascii="Times New Roman" w:hAnsi="Times New Roman"/>
              </w:rPr>
            </w:pPr>
          </w:p>
        </w:tc>
        <w:tc>
          <w:tcPr>
            <w:tcW w:w="1697" w:type="dxa"/>
            <w:gridSpan w:val="3"/>
            <w:vAlign w:val="center"/>
          </w:tcPr>
          <w:p>
            <w:pPr>
              <w:pStyle w:val="118"/>
              <w:rPr>
                <w:rFonts w:ascii="Times New Roman" w:hAnsi="Times New Roman"/>
              </w:rPr>
            </w:pPr>
            <w:r>
              <w:rPr>
                <w:rFonts w:ascii="Times New Roman" w:hAnsi="Times New Roman"/>
                <w:b/>
              </w:rPr>
              <w:t>废气治理（万元）</w:t>
            </w:r>
          </w:p>
        </w:tc>
        <w:tc>
          <w:tcPr>
            <w:tcW w:w="720" w:type="dxa"/>
            <w:vAlign w:val="center"/>
          </w:tcPr>
          <w:p>
            <w:pPr>
              <w:pStyle w:val="118"/>
              <w:rPr>
                <w:rFonts w:ascii="Times New Roman" w:hAnsi="Times New Roman"/>
              </w:rPr>
            </w:pPr>
          </w:p>
        </w:tc>
        <w:tc>
          <w:tcPr>
            <w:tcW w:w="2398" w:type="dxa"/>
            <w:gridSpan w:val="3"/>
            <w:vAlign w:val="center"/>
          </w:tcPr>
          <w:p>
            <w:pPr>
              <w:pStyle w:val="118"/>
              <w:rPr>
                <w:rFonts w:ascii="Times New Roman" w:hAnsi="Times New Roman"/>
                <w:b/>
              </w:rPr>
            </w:pPr>
            <w:r>
              <w:rPr>
                <w:rFonts w:ascii="Times New Roman" w:hAnsi="Times New Roman"/>
                <w:b/>
              </w:rPr>
              <w:t>噪声治理（万元）</w:t>
            </w:r>
          </w:p>
        </w:tc>
        <w:tc>
          <w:tcPr>
            <w:tcW w:w="567" w:type="dxa"/>
            <w:gridSpan w:val="2"/>
            <w:vAlign w:val="center"/>
          </w:tcPr>
          <w:p>
            <w:pPr>
              <w:pStyle w:val="118"/>
              <w:rPr>
                <w:rFonts w:ascii="Times New Roman" w:hAnsi="Times New Roman"/>
              </w:rPr>
            </w:pPr>
          </w:p>
        </w:tc>
        <w:tc>
          <w:tcPr>
            <w:tcW w:w="1844" w:type="dxa"/>
            <w:gridSpan w:val="3"/>
            <w:vAlign w:val="center"/>
          </w:tcPr>
          <w:p>
            <w:pPr>
              <w:pStyle w:val="118"/>
              <w:rPr>
                <w:rFonts w:ascii="Times New Roman" w:hAnsi="Times New Roman"/>
                <w:b/>
              </w:rPr>
            </w:pPr>
            <w:r>
              <w:rPr>
                <w:rFonts w:ascii="Times New Roman" w:hAnsi="Times New Roman"/>
                <w:b/>
              </w:rPr>
              <w:t>固体废物治理（万元）</w:t>
            </w:r>
          </w:p>
        </w:tc>
        <w:tc>
          <w:tcPr>
            <w:tcW w:w="427" w:type="dxa"/>
            <w:vAlign w:val="center"/>
          </w:tcPr>
          <w:p>
            <w:pPr>
              <w:pStyle w:val="118"/>
              <w:rPr>
                <w:rFonts w:ascii="Times New Roman" w:hAnsi="Times New Roman"/>
              </w:rPr>
            </w:pPr>
          </w:p>
        </w:tc>
        <w:tc>
          <w:tcPr>
            <w:tcW w:w="2057" w:type="dxa"/>
            <w:gridSpan w:val="3"/>
            <w:vAlign w:val="center"/>
          </w:tcPr>
          <w:p>
            <w:pPr>
              <w:pStyle w:val="118"/>
              <w:rPr>
                <w:rFonts w:ascii="Times New Roman" w:hAnsi="Times New Roman"/>
                <w:b/>
              </w:rPr>
            </w:pPr>
            <w:r>
              <w:rPr>
                <w:rFonts w:ascii="Times New Roman" w:hAnsi="Times New Roman"/>
                <w:b/>
              </w:rPr>
              <w:t>绿化及生态（万元）</w:t>
            </w:r>
          </w:p>
        </w:tc>
        <w:tc>
          <w:tcPr>
            <w:tcW w:w="950" w:type="dxa"/>
            <w:gridSpan w:val="2"/>
            <w:vAlign w:val="center"/>
          </w:tcPr>
          <w:p>
            <w:pPr>
              <w:pStyle w:val="118"/>
              <w:rPr>
                <w:rFonts w:ascii="Times New Roman" w:hAnsi="Times New Roman"/>
              </w:rPr>
            </w:pPr>
            <w:r>
              <w:rPr>
                <w:rFonts w:hint="eastAsia" w:ascii="Times New Roman" w:hAnsi="Times New Roman"/>
              </w:rPr>
              <w:t>/</w:t>
            </w:r>
          </w:p>
        </w:tc>
        <w:tc>
          <w:tcPr>
            <w:tcW w:w="1133" w:type="dxa"/>
            <w:gridSpan w:val="3"/>
            <w:vAlign w:val="center"/>
          </w:tcPr>
          <w:p>
            <w:pPr>
              <w:pStyle w:val="118"/>
              <w:rPr>
                <w:rFonts w:ascii="Times New Roman" w:hAnsi="Times New Roman"/>
                <w:b/>
              </w:rPr>
            </w:pPr>
            <w:r>
              <w:rPr>
                <w:rFonts w:ascii="Times New Roman" w:hAnsi="Times New Roman"/>
                <w:b/>
              </w:rPr>
              <w:t>其他（万元）</w:t>
            </w:r>
          </w:p>
        </w:tc>
        <w:tc>
          <w:tcPr>
            <w:tcW w:w="689" w:type="dxa"/>
            <w:vAlign w:val="center"/>
          </w:tcPr>
          <w:p>
            <w:pPr>
              <w:pStyle w:val="118"/>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新增废水处理设施能力</w:t>
            </w:r>
          </w:p>
        </w:tc>
        <w:tc>
          <w:tcPr>
            <w:tcW w:w="2977" w:type="dxa"/>
            <w:gridSpan w:val="5"/>
            <w:vAlign w:val="center"/>
          </w:tcPr>
          <w:p>
            <w:pPr>
              <w:pStyle w:val="118"/>
              <w:rPr>
                <w:rFonts w:ascii="Times New Roman" w:hAnsi="Times New Roman"/>
              </w:rPr>
            </w:pPr>
            <w:r>
              <w:rPr>
                <w:rFonts w:hint="eastAsia" w:ascii="Times New Roman" w:hAnsi="Times New Roman"/>
              </w:rPr>
              <w:t>/</w:t>
            </w:r>
          </w:p>
        </w:tc>
        <w:tc>
          <w:tcPr>
            <w:tcW w:w="2398" w:type="dxa"/>
            <w:gridSpan w:val="3"/>
            <w:vAlign w:val="center"/>
          </w:tcPr>
          <w:p>
            <w:pPr>
              <w:pStyle w:val="118"/>
              <w:rPr>
                <w:rFonts w:ascii="Times New Roman" w:hAnsi="Times New Roman"/>
                <w:b/>
              </w:rPr>
            </w:pPr>
            <w:r>
              <w:rPr>
                <w:rFonts w:ascii="Times New Roman" w:hAnsi="Times New Roman"/>
                <w:b/>
              </w:rPr>
              <w:t>新增废气处理设施能力</w:t>
            </w:r>
          </w:p>
        </w:tc>
        <w:tc>
          <w:tcPr>
            <w:tcW w:w="2838" w:type="dxa"/>
            <w:gridSpan w:val="6"/>
            <w:vAlign w:val="center"/>
          </w:tcPr>
          <w:p>
            <w:pPr>
              <w:pStyle w:val="118"/>
              <w:rPr>
                <w:rFonts w:ascii="Times New Roman" w:hAnsi="Times New Roman"/>
              </w:rPr>
            </w:pPr>
            <w:r>
              <w:rPr>
                <w:rFonts w:hint="eastAsia" w:ascii="Times New Roman" w:hAnsi="Times New Roman"/>
              </w:rPr>
              <w:t>/</w:t>
            </w:r>
          </w:p>
        </w:tc>
        <w:tc>
          <w:tcPr>
            <w:tcW w:w="2057" w:type="dxa"/>
            <w:gridSpan w:val="3"/>
            <w:vAlign w:val="center"/>
          </w:tcPr>
          <w:p>
            <w:pPr>
              <w:pStyle w:val="118"/>
              <w:rPr>
                <w:rFonts w:ascii="Times New Roman" w:hAnsi="Times New Roman"/>
                <w:b/>
              </w:rPr>
            </w:pPr>
            <w:r>
              <w:rPr>
                <w:rFonts w:ascii="Times New Roman" w:hAnsi="Times New Roman"/>
                <w:b/>
              </w:rPr>
              <w:t>年平均工作时</w:t>
            </w:r>
            <w:r>
              <w:rPr>
                <w:rFonts w:hint="eastAsia" w:ascii="Times New Roman" w:hAnsi="Times New Roman"/>
                <w:b/>
              </w:rPr>
              <w:t>间</w:t>
            </w:r>
          </w:p>
        </w:tc>
        <w:tc>
          <w:tcPr>
            <w:tcW w:w="2772" w:type="dxa"/>
            <w:gridSpan w:val="6"/>
            <w:vAlign w:val="center"/>
          </w:tcPr>
          <w:p>
            <w:pPr>
              <w:pStyle w:val="118"/>
              <w:rPr>
                <w:rFonts w:ascii="Times New Roman" w:hAnsi="Times New Roman"/>
              </w:rPr>
            </w:pPr>
            <w:r>
              <w:rPr>
                <w:rFonts w:hint="eastAsia" w:ascii="Times New Roman" w:hAnsi="Times New Roman"/>
              </w:rPr>
              <w:t>8760h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2952" w:type="dxa"/>
            <w:gridSpan w:val="3"/>
            <w:vAlign w:val="center"/>
          </w:tcPr>
          <w:p>
            <w:pPr>
              <w:pStyle w:val="118"/>
              <w:rPr>
                <w:rFonts w:ascii="Times New Roman" w:hAnsi="Times New Roman"/>
                <w:b/>
              </w:rPr>
            </w:pPr>
            <w:r>
              <w:rPr>
                <w:rFonts w:ascii="Times New Roman" w:hAnsi="Times New Roman"/>
                <w:b/>
              </w:rPr>
              <w:t>运营单位</w:t>
            </w:r>
          </w:p>
        </w:tc>
        <w:tc>
          <w:tcPr>
            <w:tcW w:w="2977" w:type="dxa"/>
            <w:gridSpan w:val="5"/>
            <w:vAlign w:val="center"/>
          </w:tcPr>
          <w:p>
            <w:pPr>
              <w:pStyle w:val="118"/>
              <w:rPr>
                <w:rFonts w:ascii="Times New Roman" w:hAnsi="Times New Roman"/>
              </w:rPr>
            </w:pPr>
            <w:r>
              <w:rPr>
                <w:rFonts w:hint="eastAsia" w:ascii="Times New Roman" w:hAnsi="Times New Roman"/>
              </w:rPr>
              <w:t>华润新能源（睢宁）有限公司</w:t>
            </w:r>
          </w:p>
        </w:tc>
        <w:tc>
          <w:tcPr>
            <w:tcW w:w="2398" w:type="dxa"/>
            <w:gridSpan w:val="3"/>
            <w:vAlign w:val="center"/>
          </w:tcPr>
          <w:p>
            <w:pPr>
              <w:pStyle w:val="118"/>
              <w:rPr>
                <w:rFonts w:ascii="Times New Roman" w:hAnsi="Times New Roman"/>
                <w:b/>
              </w:rPr>
            </w:pPr>
            <w:r>
              <w:rPr>
                <w:rFonts w:ascii="Times New Roman" w:hAnsi="Times New Roman"/>
                <w:b/>
              </w:rPr>
              <w:t>运营单位社会统一信用代码</w:t>
            </w:r>
          </w:p>
          <w:p>
            <w:pPr>
              <w:pStyle w:val="118"/>
              <w:rPr>
                <w:rFonts w:ascii="Times New Roman" w:hAnsi="Times New Roman"/>
                <w:b/>
              </w:rPr>
            </w:pPr>
            <w:r>
              <w:rPr>
                <w:rFonts w:ascii="Times New Roman" w:hAnsi="Times New Roman"/>
                <w:b/>
              </w:rPr>
              <w:t>（或组织机构代码）</w:t>
            </w:r>
          </w:p>
        </w:tc>
        <w:tc>
          <w:tcPr>
            <w:tcW w:w="2838" w:type="dxa"/>
            <w:gridSpan w:val="6"/>
            <w:vAlign w:val="center"/>
          </w:tcPr>
          <w:p>
            <w:pPr>
              <w:pStyle w:val="118"/>
              <w:rPr>
                <w:rFonts w:ascii="Times New Roman" w:hAnsi="Times New Roman"/>
              </w:rPr>
            </w:pPr>
            <w:r>
              <w:rPr>
                <w:rFonts w:hint="eastAsia" w:ascii="Times New Roman" w:hAnsi="Times New Roman"/>
                <w:color w:val="222222"/>
              </w:rPr>
              <w:t>91320300MA1YPLCK3R</w:t>
            </w:r>
          </w:p>
        </w:tc>
        <w:tc>
          <w:tcPr>
            <w:tcW w:w="2057" w:type="dxa"/>
            <w:gridSpan w:val="3"/>
            <w:vAlign w:val="center"/>
          </w:tcPr>
          <w:p>
            <w:pPr>
              <w:pStyle w:val="118"/>
              <w:rPr>
                <w:rFonts w:ascii="Times New Roman" w:hAnsi="Times New Roman"/>
                <w:b/>
              </w:rPr>
            </w:pPr>
            <w:r>
              <w:rPr>
                <w:rFonts w:ascii="Times New Roman" w:hAnsi="Times New Roman"/>
                <w:b/>
              </w:rPr>
              <w:t>验收时间</w:t>
            </w:r>
          </w:p>
        </w:tc>
        <w:tc>
          <w:tcPr>
            <w:tcW w:w="2772" w:type="dxa"/>
            <w:gridSpan w:val="6"/>
            <w:vAlign w:val="center"/>
          </w:tcPr>
          <w:p>
            <w:pPr>
              <w:pStyle w:val="118"/>
              <w:rPr>
                <w:rFonts w:ascii="Times New Roman" w:hAnsi="Times New Roman"/>
              </w:rPr>
            </w:pPr>
            <w:r>
              <w:rPr>
                <w:rFonts w:hint="eastAsia" w:ascii="Times New Roman" w:hAnsi="Times New Roman"/>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restart"/>
            <w:vAlign w:val="center"/>
          </w:tcPr>
          <w:p>
            <w:pPr>
              <w:pStyle w:val="118"/>
              <w:rPr>
                <w:rFonts w:ascii="Times New Roman" w:hAnsi="Times New Roman"/>
                <w:b/>
                <w:spacing w:val="20"/>
              </w:rPr>
            </w:pPr>
            <w:r>
              <w:rPr>
                <w:rFonts w:ascii="Times New Roman" w:hAnsi="Times New Roman"/>
                <w:b/>
                <w:spacing w:val="20"/>
              </w:rPr>
              <w:t>污染</w:t>
            </w:r>
          </w:p>
          <w:p>
            <w:pPr>
              <w:pStyle w:val="118"/>
              <w:rPr>
                <w:rFonts w:ascii="Times New Roman" w:hAnsi="Times New Roman"/>
                <w:b/>
                <w:spacing w:val="20"/>
              </w:rPr>
            </w:pPr>
            <w:r>
              <w:rPr>
                <w:rFonts w:ascii="Times New Roman" w:hAnsi="Times New Roman"/>
                <w:b/>
                <w:spacing w:val="20"/>
              </w:rPr>
              <w:t>物排</w:t>
            </w:r>
          </w:p>
          <w:p>
            <w:pPr>
              <w:pStyle w:val="118"/>
              <w:rPr>
                <w:rFonts w:ascii="Times New Roman" w:hAnsi="Times New Roman"/>
                <w:b/>
                <w:spacing w:val="20"/>
              </w:rPr>
            </w:pPr>
            <w:r>
              <w:rPr>
                <w:rFonts w:ascii="Times New Roman" w:hAnsi="Times New Roman"/>
                <w:b/>
                <w:spacing w:val="20"/>
              </w:rPr>
              <w:t>放达</w:t>
            </w:r>
          </w:p>
          <w:p>
            <w:pPr>
              <w:pStyle w:val="118"/>
              <w:rPr>
                <w:rFonts w:ascii="Times New Roman" w:hAnsi="Times New Roman"/>
                <w:b/>
                <w:spacing w:val="20"/>
              </w:rPr>
            </w:pPr>
            <w:r>
              <w:rPr>
                <w:rFonts w:ascii="Times New Roman" w:hAnsi="Times New Roman"/>
                <w:b/>
                <w:spacing w:val="20"/>
              </w:rPr>
              <w:t>标与</w:t>
            </w:r>
          </w:p>
          <w:p>
            <w:pPr>
              <w:pStyle w:val="118"/>
              <w:rPr>
                <w:rFonts w:ascii="Times New Roman" w:hAnsi="Times New Roman"/>
                <w:b/>
                <w:spacing w:val="20"/>
              </w:rPr>
            </w:pPr>
            <w:r>
              <w:rPr>
                <w:rFonts w:ascii="Times New Roman" w:hAnsi="Times New Roman"/>
                <w:b/>
                <w:spacing w:val="20"/>
              </w:rPr>
              <w:t>总量</w:t>
            </w:r>
          </w:p>
          <w:p>
            <w:pPr>
              <w:pStyle w:val="118"/>
              <w:rPr>
                <w:rFonts w:ascii="Times New Roman" w:hAnsi="Times New Roman"/>
                <w:b/>
                <w:spacing w:val="20"/>
              </w:rPr>
            </w:pPr>
            <w:r>
              <w:rPr>
                <w:rFonts w:ascii="Times New Roman" w:hAnsi="Times New Roman"/>
                <w:b/>
                <w:spacing w:val="20"/>
              </w:rPr>
              <w:t>控制（工</w:t>
            </w:r>
          </w:p>
          <w:p>
            <w:pPr>
              <w:pStyle w:val="118"/>
              <w:rPr>
                <w:rFonts w:ascii="Times New Roman" w:hAnsi="Times New Roman"/>
                <w:b/>
                <w:spacing w:val="20"/>
              </w:rPr>
            </w:pPr>
            <w:r>
              <w:rPr>
                <w:rFonts w:ascii="Times New Roman" w:hAnsi="Times New Roman"/>
                <w:b/>
                <w:spacing w:val="20"/>
              </w:rPr>
              <w:t>业建</w:t>
            </w:r>
          </w:p>
          <w:p>
            <w:pPr>
              <w:pStyle w:val="118"/>
              <w:rPr>
                <w:rFonts w:ascii="Times New Roman" w:hAnsi="Times New Roman"/>
                <w:b/>
                <w:spacing w:val="20"/>
              </w:rPr>
            </w:pPr>
            <w:r>
              <w:rPr>
                <w:rFonts w:ascii="Times New Roman" w:hAnsi="Times New Roman"/>
                <w:b/>
                <w:spacing w:val="20"/>
              </w:rPr>
              <w:t>设项</w:t>
            </w:r>
          </w:p>
          <w:p>
            <w:pPr>
              <w:pStyle w:val="118"/>
              <w:rPr>
                <w:rFonts w:ascii="Times New Roman" w:hAnsi="Times New Roman"/>
                <w:b/>
                <w:spacing w:val="20"/>
              </w:rPr>
            </w:pPr>
            <w:r>
              <w:rPr>
                <w:rFonts w:ascii="Times New Roman" w:hAnsi="Times New Roman"/>
                <w:b/>
                <w:spacing w:val="20"/>
              </w:rPr>
              <w:t>目详填）</w:t>
            </w:r>
          </w:p>
        </w:tc>
        <w:tc>
          <w:tcPr>
            <w:tcW w:w="2278" w:type="dxa"/>
            <w:gridSpan w:val="2"/>
            <w:vAlign w:val="center"/>
          </w:tcPr>
          <w:p>
            <w:pPr>
              <w:pStyle w:val="118"/>
              <w:rPr>
                <w:rFonts w:ascii="Times New Roman" w:hAnsi="Times New Roman"/>
                <w:b/>
              </w:rPr>
            </w:pPr>
            <w:r>
              <w:rPr>
                <w:rFonts w:ascii="Times New Roman" w:hAnsi="Times New Roman"/>
                <w:b/>
              </w:rPr>
              <w:t>污染物</w:t>
            </w:r>
          </w:p>
        </w:tc>
        <w:tc>
          <w:tcPr>
            <w:tcW w:w="1082" w:type="dxa"/>
            <w:gridSpan w:val="2"/>
            <w:vAlign w:val="center"/>
          </w:tcPr>
          <w:p>
            <w:pPr>
              <w:pStyle w:val="118"/>
              <w:rPr>
                <w:rFonts w:ascii="Times New Roman" w:hAnsi="Times New Roman"/>
                <w:b/>
              </w:rPr>
            </w:pPr>
            <w:r>
              <w:rPr>
                <w:rFonts w:ascii="Times New Roman" w:hAnsi="Times New Roman"/>
                <w:b/>
              </w:rPr>
              <w:t>原有排</w:t>
            </w:r>
          </w:p>
          <w:p>
            <w:pPr>
              <w:pStyle w:val="118"/>
              <w:rPr>
                <w:rFonts w:ascii="Times New Roman" w:hAnsi="Times New Roman"/>
                <w:b/>
              </w:rPr>
            </w:pPr>
            <w:r>
              <w:rPr>
                <w:rFonts w:ascii="Times New Roman" w:hAnsi="Times New Roman"/>
                <w:b/>
              </w:rPr>
              <w:t>放量</w:t>
            </w:r>
            <w:r>
              <w:rPr>
                <w:rFonts w:hint="eastAsia" w:ascii="Times New Roman" w:hAnsi="Times New Roman"/>
                <w:b/>
              </w:rPr>
              <w:t>（</w:t>
            </w:r>
            <w:r>
              <w:rPr>
                <w:rFonts w:ascii="Times New Roman" w:hAnsi="Times New Roman"/>
                <w:b/>
              </w:rPr>
              <w:t>1)</w:t>
            </w:r>
          </w:p>
        </w:tc>
        <w:tc>
          <w:tcPr>
            <w:tcW w:w="1083" w:type="dxa"/>
            <w:vAlign w:val="center"/>
          </w:tcPr>
          <w:p>
            <w:pPr>
              <w:pStyle w:val="118"/>
              <w:rPr>
                <w:rFonts w:ascii="Times New Roman" w:hAnsi="Times New Roman"/>
                <w:b/>
              </w:rPr>
            </w:pPr>
            <w:r>
              <w:rPr>
                <w:rFonts w:ascii="Times New Roman" w:hAnsi="Times New Roman"/>
                <w:b/>
              </w:rPr>
              <w:t>本期工程实际排放浓度</w:t>
            </w:r>
            <w:r>
              <w:rPr>
                <w:rFonts w:hint="eastAsia" w:ascii="Times New Roman" w:hAnsi="Times New Roman"/>
                <w:b/>
              </w:rPr>
              <w:t>（</w:t>
            </w:r>
            <w:r>
              <w:rPr>
                <w:rFonts w:ascii="Times New Roman" w:hAnsi="Times New Roman"/>
                <w:b/>
              </w:rPr>
              <w:t>2)</w:t>
            </w:r>
          </w:p>
        </w:tc>
        <w:tc>
          <w:tcPr>
            <w:tcW w:w="1083" w:type="dxa"/>
            <w:gridSpan w:val="3"/>
            <w:vAlign w:val="center"/>
          </w:tcPr>
          <w:p>
            <w:pPr>
              <w:pStyle w:val="118"/>
              <w:rPr>
                <w:rFonts w:ascii="Times New Roman" w:hAnsi="Times New Roman"/>
                <w:b/>
              </w:rPr>
            </w:pPr>
            <w:r>
              <w:rPr>
                <w:rFonts w:ascii="Times New Roman" w:hAnsi="Times New Roman"/>
                <w:b/>
              </w:rPr>
              <w:t>本期工程允许排放浓度</w:t>
            </w:r>
            <w:r>
              <w:rPr>
                <w:rFonts w:hint="eastAsia" w:ascii="Times New Roman" w:hAnsi="Times New Roman"/>
                <w:b/>
              </w:rPr>
              <w:t>（</w:t>
            </w:r>
            <w:r>
              <w:rPr>
                <w:rFonts w:ascii="Times New Roman" w:hAnsi="Times New Roman"/>
                <w:b/>
              </w:rPr>
              <w:t>3)</w:t>
            </w:r>
          </w:p>
        </w:tc>
        <w:tc>
          <w:tcPr>
            <w:tcW w:w="1083" w:type="dxa"/>
            <w:vAlign w:val="center"/>
          </w:tcPr>
          <w:p>
            <w:pPr>
              <w:pStyle w:val="118"/>
              <w:rPr>
                <w:rFonts w:ascii="Times New Roman" w:hAnsi="Times New Roman"/>
                <w:b/>
              </w:rPr>
            </w:pPr>
            <w:r>
              <w:rPr>
                <w:rFonts w:ascii="Times New Roman" w:hAnsi="Times New Roman"/>
                <w:b/>
              </w:rPr>
              <w:t>本期工程产生量</w:t>
            </w:r>
            <w:r>
              <w:rPr>
                <w:rFonts w:hint="eastAsia" w:ascii="Times New Roman" w:hAnsi="Times New Roman"/>
                <w:b/>
              </w:rPr>
              <w:t>（</w:t>
            </w:r>
            <w:r>
              <w:rPr>
                <w:rFonts w:ascii="Times New Roman" w:hAnsi="Times New Roman"/>
                <w:b/>
              </w:rPr>
              <w:t>4)</w:t>
            </w:r>
          </w:p>
        </w:tc>
        <w:tc>
          <w:tcPr>
            <w:tcW w:w="1082" w:type="dxa"/>
            <w:gridSpan w:val="2"/>
            <w:vAlign w:val="center"/>
          </w:tcPr>
          <w:p>
            <w:pPr>
              <w:pStyle w:val="118"/>
              <w:rPr>
                <w:rFonts w:ascii="Times New Roman" w:hAnsi="Times New Roman"/>
                <w:b/>
              </w:rPr>
            </w:pPr>
            <w:r>
              <w:rPr>
                <w:rFonts w:ascii="Times New Roman" w:hAnsi="Times New Roman"/>
                <w:b/>
              </w:rPr>
              <w:t>本期工程自身削减量</w:t>
            </w:r>
            <w:r>
              <w:rPr>
                <w:rFonts w:hint="eastAsia" w:ascii="Times New Roman" w:hAnsi="Times New Roman"/>
                <w:b/>
              </w:rPr>
              <w:t>（</w:t>
            </w:r>
            <w:r>
              <w:rPr>
                <w:rFonts w:ascii="Times New Roman" w:hAnsi="Times New Roman"/>
                <w:b/>
              </w:rPr>
              <w:t>5)</w:t>
            </w:r>
          </w:p>
        </w:tc>
        <w:tc>
          <w:tcPr>
            <w:tcW w:w="1083" w:type="dxa"/>
            <w:gridSpan w:val="2"/>
            <w:vAlign w:val="center"/>
          </w:tcPr>
          <w:p>
            <w:pPr>
              <w:pStyle w:val="118"/>
              <w:rPr>
                <w:rFonts w:ascii="Times New Roman" w:hAnsi="Times New Roman"/>
                <w:b/>
              </w:rPr>
            </w:pPr>
            <w:r>
              <w:rPr>
                <w:rFonts w:ascii="Times New Roman" w:hAnsi="Times New Roman"/>
                <w:b/>
              </w:rPr>
              <w:t>本期工程实际排放量</w:t>
            </w:r>
            <w:r>
              <w:rPr>
                <w:rFonts w:hint="eastAsia" w:ascii="Times New Roman" w:hAnsi="Times New Roman"/>
                <w:b/>
              </w:rPr>
              <w:t>（</w:t>
            </w:r>
            <w:r>
              <w:rPr>
                <w:rFonts w:ascii="Times New Roman" w:hAnsi="Times New Roman"/>
                <w:b/>
              </w:rPr>
              <w:t>6)</w:t>
            </w:r>
          </w:p>
        </w:tc>
        <w:tc>
          <w:tcPr>
            <w:tcW w:w="1083" w:type="dxa"/>
            <w:vAlign w:val="center"/>
          </w:tcPr>
          <w:p>
            <w:pPr>
              <w:pStyle w:val="118"/>
              <w:rPr>
                <w:rFonts w:ascii="Times New Roman" w:hAnsi="Times New Roman"/>
                <w:b/>
              </w:rPr>
            </w:pPr>
            <w:r>
              <w:rPr>
                <w:rFonts w:ascii="Times New Roman" w:hAnsi="Times New Roman"/>
                <w:b/>
              </w:rPr>
              <w:t>本期工程核定排放总量</w:t>
            </w:r>
            <w:r>
              <w:rPr>
                <w:rFonts w:hint="eastAsia" w:ascii="Times New Roman" w:hAnsi="Times New Roman"/>
                <w:b/>
              </w:rPr>
              <w:t>（</w:t>
            </w:r>
            <w:r>
              <w:rPr>
                <w:rFonts w:ascii="Times New Roman" w:hAnsi="Times New Roman"/>
                <w:b/>
              </w:rPr>
              <w:t>7)</w:t>
            </w:r>
          </w:p>
        </w:tc>
        <w:tc>
          <w:tcPr>
            <w:tcW w:w="1083" w:type="dxa"/>
            <w:gridSpan w:val="3"/>
            <w:vAlign w:val="center"/>
          </w:tcPr>
          <w:p>
            <w:pPr>
              <w:pStyle w:val="118"/>
              <w:rPr>
                <w:rFonts w:ascii="Times New Roman" w:hAnsi="Times New Roman"/>
                <w:b/>
              </w:rPr>
            </w:pPr>
            <w:r>
              <w:rPr>
                <w:rFonts w:ascii="Times New Roman" w:hAnsi="Times New Roman"/>
                <w:b/>
              </w:rPr>
              <w:t>本期工程“以新带老”削减量</w:t>
            </w:r>
            <w:r>
              <w:rPr>
                <w:rFonts w:hint="eastAsia" w:ascii="Times New Roman" w:hAnsi="Times New Roman"/>
                <w:b/>
              </w:rPr>
              <w:t>（</w:t>
            </w:r>
            <w:r>
              <w:rPr>
                <w:rFonts w:ascii="Times New Roman" w:hAnsi="Times New Roman"/>
                <w:b/>
              </w:rPr>
              <w:t>8)</w:t>
            </w:r>
          </w:p>
        </w:tc>
        <w:tc>
          <w:tcPr>
            <w:tcW w:w="1083" w:type="dxa"/>
            <w:vAlign w:val="center"/>
          </w:tcPr>
          <w:p>
            <w:pPr>
              <w:pStyle w:val="118"/>
              <w:rPr>
                <w:rFonts w:ascii="Times New Roman" w:hAnsi="Times New Roman"/>
                <w:b/>
              </w:rPr>
            </w:pPr>
            <w:r>
              <w:rPr>
                <w:rFonts w:ascii="Times New Roman" w:hAnsi="Times New Roman"/>
                <w:b/>
              </w:rPr>
              <w:t>全厂实际排放总量</w:t>
            </w:r>
            <w:r>
              <w:rPr>
                <w:rFonts w:hint="eastAsia" w:ascii="Times New Roman" w:hAnsi="Times New Roman"/>
                <w:b/>
              </w:rPr>
              <w:t>（</w:t>
            </w:r>
            <w:r>
              <w:rPr>
                <w:rFonts w:ascii="Times New Roman" w:hAnsi="Times New Roman"/>
                <w:b/>
              </w:rPr>
              <w:t>9)</w:t>
            </w:r>
          </w:p>
        </w:tc>
        <w:tc>
          <w:tcPr>
            <w:tcW w:w="1083" w:type="dxa"/>
            <w:gridSpan w:val="2"/>
            <w:vAlign w:val="center"/>
          </w:tcPr>
          <w:p>
            <w:pPr>
              <w:pStyle w:val="118"/>
              <w:rPr>
                <w:rFonts w:ascii="Times New Roman" w:hAnsi="Times New Roman"/>
                <w:b/>
              </w:rPr>
            </w:pPr>
            <w:r>
              <w:rPr>
                <w:rFonts w:ascii="Times New Roman" w:hAnsi="Times New Roman"/>
                <w:b/>
              </w:rPr>
              <w:t>全厂核定排放总量</w:t>
            </w:r>
            <w:r>
              <w:rPr>
                <w:rFonts w:hint="eastAsia" w:ascii="Times New Roman" w:hAnsi="Times New Roman"/>
                <w:b/>
              </w:rPr>
              <w:t>（</w:t>
            </w:r>
            <w:r>
              <w:rPr>
                <w:rFonts w:ascii="Times New Roman" w:hAnsi="Times New Roman"/>
                <w:b/>
              </w:rPr>
              <w:t>10)</w:t>
            </w:r>
          </w:p>
        </w:tc>
        <w:tc>
          <w:tcPr>
            <w:tcW w:w="1082" w:type="dxa"/>
            <w:gridSpan w:val="3"/>
            <w:vAlign w:val="center"/>
          </w:tcPr>
          <w:p>
            <w:pPr>
              <w:pStyle w:val="118"/>
              <w:rPr>
                <w:rFonts w:ascii="Times New Roman" w:hAnsi="Times New Roman"/>
                <w:b/>
              </w:rPr>
            </w:pPr>
            <w:r>
              <w:rPr>
                <w:rFonts w:ascii="Times New Roman" w:hAnsi="Times New Roman"/>
                <w:b/>
              </w:rPr>
              <w:t>区域平衡替代削减量</w:t>
            </w:r>
            <w:r>
              <w:rPr>
                <w:rFonts w:hint="eastAsia" w:ascii="Times New Roman" w:hAnsi="Times New Roman"/>
                <w:b/>
              </w:rPr>
              <w:t>（</w:t>
            </w:r>
            <w:r>
              <w:rPr>
                <w:rFonts w:ascii="Times New Roman" w:hAnsi="Times New Roman"/>
                <w:b/>
              </w:rPr>
              <w:t>11)</w:t>
            </w:r>
          </w:p>
        </w:tc>
        <w:tc>
          <w:tcPr>
            <w:tcW w:w="1132" w:type="dxa"/>
            <w:gridSpan w:val="2"/>
            <w:vAlign w:val="center"/>
          </w:tcPr>
          <w:p>
            <w:pPr>
              <w:pStyle w:val="118"/>
              <w:rPr>
                <w:rFonts w:ascii="Times New Roman" w:hAnsi="Times New Roman"/>
                <w:b/>
              </w:rPr>
            </w:pPr>
            <w:r>
              <w:rPr>
                <w:rFonts w:ascii="Times New Roman" w:hAnsi="Times New Roman"/>
                <w:b/>
              </w:rPr>
              <w:t>排放增减量</w:t>
            </w:r>
            <w:r>
              <w:rPr>
                <w:rFonts w:hint="eastAsia" w:ascii="Times New Roman" w:hAnsi="Times New Roman"/>
                <w:b/>
              </w:rPr>
              <w:t>（</w:t>
            </w:r>
            <w:r>
              <w:rPr>
                <w:rFonts w:ascii="Times New Roman" w:hAnsi="Times New Roman"/>
                <w:b/>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废水</w:t>
            </w:r>
          </w:p>
        </w:tc>
        <w:tc>
          <w:tcPr>
            <w:tcW w:w="1082"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化学需氧量</w:t>
            </w:r>
          </w:p>
        </w:tc>
        <w:tc>
          <w:tcPr>
            <w:tcW w:w="1082"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氨氮</w:t>
            </w:r>
          </w:p>
        </w:tc>
        <w:tc>
          <w:tcPr>
            <w:tcW w:w="1082"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石油类</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color w:val="FF0000"/>
              </w:rPr>
            </w:pPr>
          </w:p>
        </w:tc>
        <w:tc>
          <w:tcPr>
            <w:tcW w:w="1083" w:type="dxa"/>
            <w:gridSpan w:val="3"/>
            <w:vAlign w:val="center"/>
          </w:tcPr>
          <w:p>
            <w:pPr>
              <w:pStyle w:val="118"/>
              <w:rPr>
                <w:rFonts w:ascii="Times New Roman" w:hAnsi="Times New Roman"/>
                <w:color w:val="FF0000"/>
              </w:rPr>
            </w:pPr>
          </w:p>
        </w:tc>
        <w:tc>
          <w:tcPr>
            <w:tcW w:w="1083" w:type="dxa"/>
            <w:vAlign w:val="center"/>
          </w:tcPr>
          <w:p>
            <w:pPr>
              <w:pStyle w:val="118"/>
              <w:rPr>
                <w:rFonts w:ascii="Times New Roman" w:hAnsi="Times New Roman"/>
                <w:color w:val="FF0000"/>
              </w:rPr>
            </w:pPr>
          </w:p>
        </w:tc>
        <w:tc>
          <w:tcPr>
            <w:tcW w:w="1082" w:type="dxa"/>
            <w:gridSpan w:val="2"/>
            <w:vAlign w:val="center"/>
          </w:tcPr>
          <w:p>
            <w:pPr>
              <w:pStyle w:val="118"/>
              <w:rPr>
                <w:rFonts w:ascii="Times New Roman" w:hAnsi="Times New Roman"/>
                <w:color w:val="FF0000"/>
              </w:rPr>
            </w:pPr>
          </w:p>
        </w:tc>
        <w:tc>
          <w:tcPr>
            <w:tcW w:w="1083" w:type="dxa"/>
            <w:gridSpan w:val="2"/>
            <w:vAlign w:val="center"/>
          </w:tcPr>
          <w:p>
            <w:pPr>
              <w:pStyle w:val="118"/>
              <w:rPr>
                <w:rFonts w:ascii="Times New Roman" w:hAnsi="Times New Roman"/>
                <w:color w:val="FF0000"/>
              </w:rPr>
            </w:pPr>
          </w:p>
        </w:tc>
        <w:tc>
          <w:tcPr>
            <w:tcW w:w="1083" w:type="dxa"/>
            <w:vAlign w:val="center"/>
          </w:tcPr>
          <w:p>
            <w:pPr>
              <w:pStyle w:val="118"/>
              <w:rPr>
                <w:rFonts w:ascii="Times New Roman" w:hAnsi="Times New Roman"/>
                <w:color w:val="FF0000"/>
              </w:rPr>
            </w:pPr>
          </w:p>
        </w:tc>
        <w:tc>
          <w:tcPr>
            <w:tcW w:w="1083" w:type="dxa"/>
            <w:gridSpan w:val="3"/>
            <w:vAlign w:val="center"/>
          </w:tcPr>
          <w:p>
            <w:pPr>
              <w:pStyle w:val="118"/>
              <w:rPr>
                <w:rFonts w:ascii="Times New Roman" w:hAnsi="Times New Roman"/>
                <w:color w:val="FF0000"/>
              </w:rPr>
            </w:pPr>
          </w:p>
        </w:tc>
        <w:tc>
          <w:tcPr>
            <w:tcW w:w="1083" w:type="dxa"/>
            <w:vAlign w:val="center"/>
          </w:tcPr>
          <w:p>
            <w:pPr>
              <w:pStyle w:val="118"/>
              <w:rPr>
                <w:rFonts w:ascii="Times New Roman" w:hAnsi="Times New Roman"/>
                <w:color w:val="FF0000"/>
              </w:rPr>
            </w:pPr>
          </w:p>
        </w:tc>
        <w:tc>
          <w:tcPr>
            <w:tcW w:w="1083" w:type="dxa"/>
            <w:gridSpan w:val="2"/>
            <w:vAlign w:val="center"/>
          </w:tcPr>
          <w:p>
            <w:pPr>
              <w:pStyle w:val="118"/>
              <w:rPr>
                <w:rFonts w:ascii="Times New Roman" w:hAnsi="Times New Roman"/>
                <w:color w:val="FF0000"/>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废气</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二氧化硫</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烟尘</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工业粉尘</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sz w:val="20"/>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氮氧化物</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工业固体废物</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rPr>
            </w:pPr>
          </w:p>
        </w:tc>
        <w:tc>
          <w:tcPr>
            <w:tcW w:w="1273" w:type="dxa"/>
            <w:vMerge w:val="restart"/>
            <w:vAlign w:val="center"/>
          </w:tcPr>
          <w:p>
            <w:pPr>
              <w:pStyle w:val="118"/>
              <w:rPr>
                <w:rFonts w:ascii="Times New Roman" w:hAnsi="Times New Roman"/>
                <w:b/>
              </w:rPr>
            </w:pPr>
            <w:r>
              <w:rPr>
                <w:rFonts w:ascii="Times New Roman" w:hAnsi="Times New Roman"/>
                <w:b/>
              </w:rPr>
              <w:t>与项目有关的其他特征污染物</w:t>
            </w:r>
          </w:p>
        </w:tc>
        <w:tc>
          <w:tcPr>
            <w:tcW w:w="1005"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color w:val="FF0000"/>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color w:val="FF0000"/>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rPr>
            </w:pPr>
          </w:p>
        </w:tc>
        <w:tc>
          <w:tcPr>
            <w:tcW w:w="1273" w:type="dxa"/>
            <w:vMerge w:val="continue"/>
            <w:vAlign w:val="center"/>
          </w:tcPr>
          <w:p>
            <w:pPr>
              <w:pStyle w:val="118"/>
              <w:rPr>
                <w:rFonts w:ascii="Times New Roman" w:hAnsi="Times New Roman"/>
              </w:rPr>
            </w:pPr>
          </w:p>
        </w:tc>
        <w:tc>
          <w:tcPr>
            <w:tcW w:w="1005"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rPr>
            </w:pPr>
          </w:p>
        </w:tc>
        <w:tc>
          <w:tcPr>
            <w:tcW w:w="1273" w:type="dxa"/>
            <w:vMerge w:val="continue"/>
            <w:vAlign w:val="center"/>
          </w:tcPr>
          <w:p>
            <w:pPr>
              <w:pStyle w:val="118"/>
              <w:rPr>
                <w:rFonts w:ascii="Times New Roman" w:hAnsi="Times New Roman"/>
              </w:rPr>
            </w:pPr>
          </w:p>
        </w:tc>
        <w:tc>
          <w:tcPr>
            <w:tcW w:w="1005"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bl>
    <w:p>
      <w:pPr>
        <w:sectPr>
          <w:footerReference r:id="rId6" w:type="default"/>
          <w:pgSz w:w="16838" w:h="11906" w:orient="landscape"/>
          <w:pgMar w:top="1134" w:right="567" w:bottom="567" w:left="567" w:header="680" w:footer="680" w:gutter="0"/>
          <w:cols w:space="720" w:num="1"/>
          <w:docGrid w:linePitch="286" w:charSpace="0"/>
        </w:sectPr>
      </w:pPr>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w:t>
      </w:r>
      <w:r>
        <w:rPr>
          <w:rFonts w:hint="eastAsia"/>
          <w:sz w:val="15"/>
          <w:szCs w:val="15"/>
        </w:rPr>
        <w:t>升。</w:t>
      </w:r>
    </w:p>
    <w:p>
      <w:pPr>
        <w:pStyle w:val="4"/>
        <w:tabs>
          <w:tab w:val="left" w:pos="7275"/>
        </w:tabs>
        <w:spacing w:beforeLines="50" w:afterLines="50" w:line="240" w:lineRule="auto"/>
        <w:ind w:left="-210" w:leftChars="-100"/>
        <w:rPr>
          <w:sz w:val="28"/>
          <w:szCs w:val="28"/>
        </w:rPr>
      </w:pPr>
      <w:bookmarkStart w:id="21" w:name="_Toc12747"/>
      <w:r>
        <w:rPr>
          <w:sz w:val="28"/>
          <w:szCs w:val="28"/>
        </w:rPr>
        <w:t>附件5、</w:t>
      </w:r>
      <w:r>
        <w:rPr>
          <w:rFonts w:hint="eastAsia"/>
          <w:sz w:val="28"/>
          <w:szCs w:val="28"/>
        </w:rPr>
        <w:t>建设项目环保审批意见</w:t>
      </w:r>
      <w:bookmarkEnd w:id="21"/>
    </w:p>
    <w:p>
      <w:pPr>
        <w:jc w:val="center"/>
      </w:pPr>
    </w:p>
    <w:p>
      <w:pPr>
        <w:jc w:val="center"/>
      </w:pPr>
      <w:r>
        <w:drawing>
          <wp:inline distT="0" distB="0" distL="114300" distR="114300">
            <wp:extent cx="5915025" cy="8181975"/>
            <wp:effectExtent l="0" t="0" r="9525" b="952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4" cstate="print"/>
                    <a:stretch>
                      <a:fillRect/>
                    </a:stretch>
                  </pic:blipFill>
                  <pic:spPr>
                    <a:xfrm>
                      <a:off x="0" y="0"/>
                      <a:ext cx="5915025" cy="8181975"/>
                    </a:xfrm>
                    <a:prstGeom prst="rect">
                      <a:avLst/>
                    </a:prstGeom>
                    <a:noFill/>
                    <a:ln>
                      <a:noFill/>
                    </a:ln>
                  </pic:spPr>
                </pic:pic>
              </a:graphicData>
            </a:graphic>
          </wp:inline>
        </w:drawing>
      </w:r>
    </w:p>
    <w:p>
      <w:pPr>
        <w:pStyle w:val="2"/>
        <w:sectPr>
          <w:footerReference r:id="rId7" w:type="default"/>
          <w:pgSz w:w="11906" w:h="16838"/>
          <w:pgMar w:top="1134" w:right="1134" w:bottom="1134" w:left="1134" w:header="851" w:footer="992" w:gutter="0"/>
          <w:cols w:space="720" w:num="1"/>
          <w:docGrid w:linePitch="312" w:charSpace="0"/>
        </w:sectPr>
      </w:pPr>
      <w:r>
        <w:drawing>
          <wp:inline distT="0" distB="0" distL="114300" distR="114300">
            <wp:extent cx="5800725" cy="8267700"/>
            <wp:effectExtent l="0" t="0" r="9525" b="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5" cstate="print"/>
                    <a:stretch>
                      <a:fillRect/>
                    </a:stretch>
                  </pic:blipFill>
                  <pic:spPr>
                    <a:xfrm>
                      <a:off x="0" y="0"/>
                      <a:ext cx="5800725" cy="8267700"/>
                    </a:xfrm>
                    <a:prstGeom prst="rect">
                      <a:avLst/>
                    </a:prstGeom>
                    <a:noFill/>
                    <a:ln>
                      <a:noFill/>
                    </a:ln>
                  </pic:spPr>
                </pic:pic>
              </a:graphicData>
            </a:graphic>
          </wp:inline>
        </w:drawing>
      </w:r>
    </w:p>
    <w:p>
      <w:pPr>
        <w:pStyle w:val="4"/>
        <w:tabs>
          <w:tab w:val="left" w:pos="7275"/>
        </w:tabs>
        <w:spacing w:beforeLines="50" w:afterLines="50" w:line="240" w:lineRule="auto"/>
        <w:rPr>
          <w:sz w:val="28"/>
          <w:szCs w:val="28"/>
        </w:rPr>
      </w:pPr>
      <w:bookmarkStart w:id="22" w:name="_Toc5776"/>
      <w:r>
        <w:rPr>
          <w:rFonts w:hint="eastAsia"/>
          <w:sz w:val="28"/>
          <w:szCs w:val="28"/>
        </w:rPr>
        <w:t>附件6、验收监测报告</w:t>
      </w:r>
      <w:bookmarkEnd w:id="22"/>
    </w:p>
    <w:p>
      <w:pPr>
        <w:jc w:val="center"/>
      </w:pPr>
      <w:r>
        <w:drawing>
          <wp:inline distT="0" distB="0" distL="114300" distR="114300">
            <wp:extent cx="5876925" cy="8277225"/>
            <wp:effectExtent l="0" t="0" r="9525" b="952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6" cstate="print"/>
                    <a:stretch>
                      <a:fillRect/>
                    </a:stretch>
                  </pic:blipFill>
                  <pic:spPr>
                    <a:xfrm>
                      <a:off x="0" y="0"/>
                      <a:ext cx="5876925" cy="8277225"/>
                    </a:xfrm>
                    <a:prstGeom prst="rect">
                      <a:avLst/>
                    </a:prstGeom>
                    <a:noFill/>
                    <a:ln>
                      <a:noFill/>
                    </a:ln>
                  </pic:spPr>
                </pic:pic>
              </a:graphicData>
            </a:graphic>
          </wp:inline>
        </w:drawing>
      </w:r>
    </w:p>
    <w:p>
      <w:pPr>
        <w:pStyle w:val="2"/>
      </w:pPr>
      <w:r>
        <w:drawing>
          <wp:inline distT="0" distB="0" distL="114300" distR="114300">
            <wp:extent cx="5867400" cy="8020050"/>
            <wp:effectExtent l="0" t="0" r="0"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7" cstate="print"/>
                    <a:stretch>
                      <a:fillRect/>
                    </a:stretch>
                  </pic:blipFill>
                  <pic:spPr>
                    <a:xfrm>
                      <a:off x="0" y="0"/>
                      <a:ext cx="5867400" cy="8020050"/>
                    </a:xfrm>
                    <a:prstGeom prst="rect">
                      <a:avLst/>
                    </a:prstGeom>
                    <a:noFill/>
                    <a:ln>
                      <a:noFill/>
                    </a:ln>
                  </pic:spPr>
                </pic:pic>
              </a:graphicData>
            </a:graphic>
          </wp:inline>
        </w:drawing>
      </w:r>
    </w:p>
    <w:p>
      <w:pPr>
        <w:pStyle w:val="2"/>
      </w:pPr>
      <w:r>
        <w:drawing>
          <wp:inline distT="0" distB="0" distL="114300" distR="114300">
            <wp:extent cx="5886450" cy="8191500"/>
            <wp:effectExtent l="0" t="0" r="0" b="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8" cstate="print"/>
                    <a:stretch>
                      <a:fillRect/>
                    </a:stretch>
                  </pic:blipFill>
                  <pic:spPr>
                    <a:xfrm>
                      <a:off x="0" y="0"/>
                      <a:ext cx="5886450" cy="8191500"/>
                    </a:xfrm>
                    <a:prstGeom prst="rect">
                      <a:avLst/>
                    </a:prstGeom>
                    <a:noFill/>
                    <a:ln>
                      <a:noFill/>
                    </a:ln>
                  </pic:spPr>
                </pic:pic>
              </a:graphicData>
            </a:graphic>
          </wp:inline>
        </w:drawing>
      </w:r>
    </w:p>
    <w:p>
      <w:pPr>
        <w:pStyle w:val="2"/>
      </w:pPr>
      <w:r>
        <w:drawing>
          <wp:inline distT="0" distB="0" distL="114300" distR="114300">
            <wp:extent cx="5848350" cy="7924800"/>
            <wp:effectExtent l="0" t="0" r="0" b="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9" cstate="print"/>
                    <a:stretch>
                      <a:fillRect/>
                    </a:stretch>
                  </pic:blipFill>
                  <pic:spPr>
                    <a:xfrm>
                      <a:off x="0" y="0"/>
                      <a:ext cx="5848350" cy="7924800"/>
                    </a:xfrm>
                    <a:prstGeom prst="rect">
                      <a:avLst/>
                    </a:prstGeom>
                    <a:noFill/>
                    <a:ln>
                      <a:noFill/>
                    </a:ln>
                  </pic:spPr>
                </pic:pic>
              </a:graphicData>
            </a:graphic>
          </wp:inline>
        </w:drawing>
      </w:r>
    </w:p>
    <w:p>
      <w:pPr>
        <w:pStyle w:val="2"/>
      </w:pPr>
      <w:r>
        <w:drawing>
          <wp:inline distT="0" distB="0" distL="114300" distR="114300">
            <wp:extent cx="5819775" cy="8153400"/>
            <wp:effectExtent l="0" t="0" r="9525" b="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0" cstate="print"/>
                    <a:stretch>
                      <a:fillRect/>
                    </a:stretch>
                  </pic:blipFill>
                  <pic:spPr>
                    <a:xfrm>
                      <a:off x="0" y="0"/>
                      <a:ext cx="5819775" cy="8153400"/>
                    </a:xfrm>
                    <a:prstGeom prst="rect">
                      <a:avLst/>
                    </a:prstGeom>
                    <a:noFill/>
                    <a:ln>
                      <a:noFill/>
                    </a:ln>
                  </pic:spPr>
                </pic:pic>
              </a:graphicData>
            </a:graphic>
          </wp:inline>
        </w:drawing>
      </w:r>
    </w:p>
    <w:p>
      <w:pPr>
        <w:pStyle w:val="2"/>
      </w:pPr>
      <w:r>
        <w:drawing>
          <wp:inline distT="0" distB="0" distL="114300" distR="114300">
            <wp:extent cx="5876925" cy="8201025"/>
            <wp:effectExtent l="0" t="0" r="9525" b="952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21" cstate="print"/>
                    <a:stretch>
                      <a:fillRect/>
                    </a:stretch>
                  </pic:blipFill>
                  <pic:spPr>
                    <a:xfrm>
                      <a:off x="0" y="0"/>
                      <a:ext cx="5876925" cy="8201025"/>
                    </a:xfrm>
                    <a:prstGeom prst="rect">
                      <a:avLst/>
                    </a:prstGeom>
                    <a:noFill/>
                    <a:ln>
                      <a:noFill/>
                    </a:ln>
                  </pic:spPr>
                </pic:pic>
              </a:graphicData>
            </a:graphic>
          </wp:inline>
        </w:drawing>
      </w:r>
    </w:p>
    <w:p>
      <w:pPr>
        <w:pStyle w:val="2"/>
      </w:pPr>
      <w:r>
        <w:drawing>
          <wp:inline distT="0" distB="0" distL="114300" distR="114300">
            <wp:extent cx="5962650" cy="8334375"/>
            <wp:effectExtent l="0" t="0" r="0" b="952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2" cstate="print"/>
                    <a:stretch>
                      <a:fillRect/>
                    </a:stretch>
                  </pic:blipFill>
                  <pic:spPr>
                    <a:xfrm>
                      <a:off x="0" y="0"/>
                      <a:ext cx="5962650" cy="8334375"/>
                    </a:xfrm>
                    <a:prstGeom prst="rect">
                      <a:avLst/>
                    </a:prstGeom>
                    <a:noFill/>
                    <a:ln>
                      <a:noFill/>
                    </a:ln>
                  </pic:spPr>
                </pic:pic>
              </a:graphicData>
            </a:graphic>
          </wp:inline>
        </w:drawing>
      </w:r>
    </w:p>
    <w:p>
      <w:pPr>
        <w:pStyle w:val="2"/>
      </w:pPr>
      <w:r>
        <w:drawing>
          <wp:inline distT="0" distB="0" distL="114300" distR="114300">
            <wp:extent cx="5838825" cy="8029575"/>
            <wp:effectExtent l="0" t="0" r="952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3" cstate="print"/>
                    <a:stretch>
                      <a:fillRect/>
                    </a:stretch>
                  </pic:blipFill>
                  <pic:spPr>
                    <a:xfrm>
                      <a:off x="0" y="0"/>
                      <a:ext cx="5838825" cy="8029575"/>
                    </a:xfrm>
                    <a:prstGeom prst="rect">
                      <a:avLst/>
                    </a:prstGeom>
                    <a:noFill/>
                    <a:ln>
                      <a:noFill/>
                    </a:ln>
                  </pic:spPr>
                </pic:pic>
              </a:graphicData>
            </a:graphic>
          </wp:inline>
        </w:drawing>
      </w:r>
      <w:r>
        <w:drawing>
          <wp:inline distT="0" distB="0" distL="114300" distR="114300">
            <wp:extent cx="5895975" cy="8191500"/>
            <wp:effectExtent l="0" t="0" r="9525"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4" cstate="print"/>
                    <a:stretch>
                      <a:fillRect/>
                    </a:stretch>
                  </pic:blipFill>
                  <pic:spPr>
                    <a:xfrm>
                      <a:off x="0" y="0"/>
                      <a:ext cx="5895975" cy="8191500"/>
                    </a:xfrm>
                    <a:prstGeom prst="rect">
                      <a:avLst/>
                    </a:prstGeom>
                    <a:noFill/>
                    <a:ln>
                      <a:noFill/>
                    </a:ln>
                  </pic:spPr>
                </pic:pic>
              </a:graphicData>
            </a:graphic>
          </wp:inline>
        </w:drawing>
      </w:r>
    </w:p>
    <w:p>
      <w:pPr>
        <w:pStyle w:val="2"/>
      </w:pPr>
      <w:r>
        <w:drawing>
          <wp:inline distT="0" distB="0" distL="114300" distR="114300">
            <wp:extent cx="5829300" cy="8248650"/>
            <wp:effectExtent l="0" t="0" r="0" b="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5" cstate="print"/>
                    <a:stretch>
                      <a:fillRect/>
                    </a:stretch>
                  </pic:blipFill>
                  <pic:spPr>
                    <a:xfrm>
                      <a:off x="0" y="0"/>
                      <a:ext cx="5829300" cy="8248650"/>
                    </a:xfrm>
                    <a:prstGeom prst="rect">
                      <a:avLst/>
                    </a:prstGeom>
                    <a:noFill/>
                    <a:ln>
                      <a:noFill/>
                    </a:ln>
                  </pic:spPr>
                </pic:pic>
              </a:graphicData>
            </a:graphic>
          </wp:inline>
        </w:drawing>
      </w:r>
    </w:p>
    <w:p>
      <w:pPr>
        <w:pStyle w:val="2"/>
      </w:pPr>
      <w:r>
        <w:drawing>
          <wp:inline distT="0" distB="0" distL="114300" distR="114300">
            <wp:extent cx="5934075" cy="8048625"/>
            <wp:effectExtent l="0" t="0" r="9525" b="952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26" cstate="print"/>
                    <a:stretch>
                      <a:fillRect/>
                    </a:stretch>
                  </pic:blipFill>
                  <pic:spPr>
                    <a:xfrm>
                      <a:off x="0" y="0"/>
                      <a:ext cx="5934075" cy="8048625"/>
                    </a:xfrm>
                    <a:prstGeom prst="rect">
                      <a:avLst/>
                    </a:prstGeom>
                    <a:noFill/>
                    <a:ln>
                      <a:noFill/>
                    </a:ln>
                  </pic:spPr>
                </pic:pic>
              </a:graphicData>
            </a:graphic>
          </wp:inline>
        </w:drawing>
      </w:r>
    </w:p>
    <w:p/>
    <w:p>
      <w:pPr>
        <w:jc w:val="center"/>
      </w:pPr>
    </w:p>
    <w:p/>
    <w:p>
      <w:pPr>
        <w:jc w:val="center"/>
      </w:pPr>
    </w:p>
    <w:p>
      <w:pPr>
        <w:jc w:val="center"/>
      </w:pPr>
      <w:r>
        <w:drawing>
          <wp:inline distT="0" distB="0" distL="114300" distR="114300">
            <wp:extent cx="5991225" cy="8239125"/>
            <wp:effectExtent l="0" t="0" r="9525" b="9525"/>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27" cstate="print"/>
                    <a:stretch>
                      <a:fillRect/>
                    </a:stretch>
                  </pic:blipFill>
                  <pic:spPr>
                    <a:xfrm>
                      <a:off x="0" y="0"/>
                      <a:ext cx="5991225" cy="8239125"/>
                    </a:xfrm>
                    <a:prstGeom prst="rect">
                      <a:avLst/>
                    </a:prstGeom>
                    <a:noFill/>
                    <a:ln>
                      <a:noFill/>
                    </a:ln>
                  </pic:spPr>
                </pic:pic>
              </a:graphicData>
            </a:graphic>
          </wp:inline>
        </w:drawing>
      </w:r>
    </w:p>
    <w:p>
      <w:pPr>
        <w:pStyle w:val="2"/>
      </w:pPr>
      <w:r>
        <w:drawing>
          <wp:inline distT="0" distB="0" distL="114300" distR="114300">
            <wp:extent cx="5838825" cy="7943850"/>
            <wp:effectExtent l="0" t="0" r="9525" b="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28" cstate="print"/>
                    <a:stretch>
                      <a:fillRect/>
                    </a:stretch>
                  </pic:blipFill>
                  <pic:spPr>
                    <a:xfrm>
                      <a:off x="0" y="0"/>
                      <a:ext cx="5838825" cy="7943850"/>
                    </a:xfrm>
                    <a:prstGeom prst="rect">
                      <a:avLst/>
                    </a:prstGeom>
                    <a:noFill/>
                    <a:ln>
                      <a:noFill/>
                    </a:ln>
                  </pic:spPr>
                </pic:pic>
              </a:graphicData>
            </a:graphic>
          </wp:inline>
        </w:drawing>
      </w:r>
    </w:p>
    <w:p>
      <w:pPr>
        <w:pStyle w:val="2"/>
      </w:pPr>
      <w:r>
        <w:drawing>
          <wp:inline distT="0" distB="0" distL="114300" distR="114300">
            <wp:extent cx="5829300" cy="8143875"/>
            <wp:effectExtent l="0" t="0" r="0" b="9525"/>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29" cstate="print"/>
                    <a:stretch>
                      <a:fillRect/>
                    </a:stretch>
                  </pic:blipFill>
                  <pic:spPr>
                    <a:xfrm>
                      <a:off x="0" y="0"/>
                      <a:ext cx="5829300" cy="8143875"/>
                    </a:xfrm>
                    <a:prstGeom prst="rect">
                      <a:avLst/>
                    </a:prstGeom>
                    <a:noFill/>
                    <a:ln>
                      <a:noFill/>
                    </a:ln>
                  </pic:spPr>
                </pic:pic>
              </a:graphicData>
            </a:graphic>
          </wp:inline>
        </w:drawing>
      </w:r>
    </w:p>
    <w:p>
      <w:pPr>
        <w:pStyle w:val="2"/>
      </w:pPr>
      <w:r>
        <w:drawing>
          <wp:inline distT="0" distB="0" distL="114300" distR="114300">
            <wp:extent cx="5800725" cy="8220075"/>
            <wp:effectExtent l="0" t="0" r="9525" b="9525"/>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30" cstate="print"/>
                    <a:stretch>
                      <a:fillRect/>
                    </a:stretch>
                  </pic:blipFill>
                  <pic:spPr>
                    <a:xfrm>
                      <a:off x="0" y="0"/>
                      <a:ext cx="5800725" cy="8220075"/>
                    </a:xfrm>
                    <a:prstGeom prst="rect">
                      <a:avLst/>
                    </a:prstGeom>
                    <a:noFill/>
                    <a:ln>
                      <a:noFill/>
                    </a:ln>
                  </pic:spPr>
                </pic:pic>
              </a:graphicData>
            </a:graphic>
          </wp:inline>
        </w:drawing>
      </w:r>
    </w:p>
    <w:p/>
    <w:p/>
    <w:p>
      <w:pPr>
        <w:jc w:val="center"/>
      </w:pPr>
    </w:p>
    <w:p/>
    <w:p>
      <w:pPr>
        <w:jc w:val="center"/>
      </w:pPr>
    </w:p>
    <w:p>
      <w:pPr>
        <w:pStyle w:val="4"/>
        <w:tabs>
          <w:tab w:val="left" w:pos="7275"/>
        </w:tabs>
        <w:spacing w:beforeLines="50" w:afterLines="50" w:line="240" w:lineRule="auto"/>
        <w:rPr>
          <w:rFonts w:hint="eastAsia"/>
          <w:sz w:val="28"/>
          <w:szCs w:val="28"/>
        </w:rPr>
      </w:pPr>
      <w:bookmarkStart w:id="23" w:name="_Toc21510452"/>
      <w:bookmarkStart w:id="24" w:name="_Toc18673"/>
      <w:r>
        <w:rPr>
          <w:sz w:val="28"/>
          <w:szCs w:val="28"/>
        </w:rPr>
        <w:t>附件</w:t>
      </w:r>
      <w:r>
        <w:rPr>
          <w:rFonts w:hint="eastAsia"/>
          <w:sz w:val="28"/>
          <w:szCs w:val="28"/>
        </w:rPr>
        <w:t>7</w:t>
      </w:r>
      <w:r>
        <w:rPr>
          <w:sz w:val="28"/>
          <w:szCs w:val="28"/>
        </w:rPr>
        <w:t>、</w:t>
      </w:r>
      <w:r>
        <w:rPr>
          <w:rFonts w:hint="eastAsia"/>
          <w:sz w:val="28"/>
          <w:szCs w:val="28"/>
        </w:rPr>
        <w:t>验收意见及签到表</w:t>
      </w:r>
      <w:bookmarkEnd w:id="23"/>
      <w:bookmarkEnd w:id="24"/>
    </w:p>
    <w:p>
      <w:r>
        <w:drawing>
          <wp:inline distT="0" distB="0" distL="114300" distR="114300">
            <wp:extent cx="5905500" cy="83343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a:stretch>
                      <a:fillRect/>
                    </a:stretch>
                  </pic:blipFill>
                  <pic:spPr>
                    <a:xfrm>
                      <a:off x="0" y="0"/>
                      <a:ext cx="5905500" cy="8334375"/>
                    </a:xfrm>
                    <a:prstGeom prst="rect">
                      <a:avLst/>
                    </a:prstGeom>
                    <a:noFill/>
                    <a:ln>
                      <a:noFill/>
                    </a:ln>
                  </pic:spPr>
                </pic:pic>
              </a:graphicData>
            </a:graphic>
          </wp:inline>
        </w:drawing>
      </w:r>
      <w:r>
        <w:drawing>
          <wp:inline distT="0" distB="0" distL="114300" distR="114300">
            <wp:extent cx="6038850" cy="8439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a:stretch>
                      <a:fillRect/>
                    </a:stretch>
                  </pic:blipFill>
                  <pic:spPr>
                    <a:xfrm>
                      <a:off x="0" y="0"/>
                      <a:ext cx="6038850" cy="8439150"/>
                    </a:xfrm>
                    <a:prstGeom prst="rect">
                      <a:avLst/>
                    </a:prstGeom>
                    <a:noFill/>
                    <a:ln>
                      <a:noFill/>
                    </a:ln>
                  </pic:spPr>
                </pic:pic>
              </a:graphicData>
            </a:graphic>
          </wp:inline>
        </w:drawing>
      </w:r>
      <w:r>
        <w:drawing>
          <wp:inline distT="0" distB="0" distL="114300" distR="114300">
            <wp:extent cx="6029325" cy="8315325"/>
            <wp:effectExtent l="0" t="0" r="952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3"/>
                    <a:stretch>
                      <a:fillRect/>
                    </a:stretch>
                  </pic:blipFill>
                  <pic:spPr>
                    <a:xfrm>
                      <a:off x="0" y="0"/>
                      <a:ext cx="6029325" cy="8315325"/>
                    </a:xfrm>
                    <a:prstGeom prst="rect">
                      <a:avLst/>
                    </a:prstGeom>
                    <a:noFill/>
                    <a:ln>
                      <a:noFill/>
                    </a:ln>
                  </pic:spPr>
                </pic:pic>
              </a:graphicData>
            </a:graphic>
          </wp:inline>
        </w:drawing>
      </w:r>
      <w:r>
        <w:drawing>
          <wp:inline distT="0" distB="0" distL="114300" distR="114300">
            <wp:extent cx="6038850" cy="838200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4"/>
                    <a:stretch>
                      <a:fillRect/>
                    </a:stretch>
                  </pic:blipFill>
                  <pic:spPr>
                    <a:xfrm>
                      <a:off x="0" y="0"/>
                      <a:ext cx="6038850" cy="8382000"/>
                    </a:xfrm>
                    <a:prstGeom prst="rect">
                      <a:avLst/>
                    </a:prstGeom>
                    <a:noFill/>
                    <a:ln>
                      <a:noFill/>
                    </a:ln>
                  </pic:spPr>
                </pic:pic>
              </a:graphicData>
            </a:graphic>
          </wp:inline>
        </w:drawing>
      </w:r>
    </w:p>
    <w:p>
      <w:pPr>
        <w:widowControl/>
        <w:jc w:val="center"/>
        <w:rPr>
          <w:b/>
          <w:sz w:val="24"/>
        </w:rPr>
      </w:pPr>
    </w:p>
    <w:p>
      <w:pPr>
        <w:widowControl/>
        <w:jc w:val="center"/>
        <w:rPr>
          <w:b/>
          <w:sz w:val="24"/>
        </w:rPr>
      </w:pPr>
      <w:r>
        <w:drawing>
          <wp:inline distT="0" distB="0" distL="114300" distR="114300">
            <wp:extent cx="5867400" cy="8286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867400" cy="8286750"/>
                    </a:xfrm>
                    <a:prstGeom prst="rect">
                      <a:avLst/>
                    </a:prstGeom>
                    <a:noFill/>
                    <a:ln>
                      <a:noFill/>
                    </a:ln>
                  </pic:spPr>
                </pic:pic>
              </a:graphicData>
            </a:graphic>
          </wp:inline>
        </w:drawing>
      </w:r>
    </w:p>
    <w:p>
      <w:pPr>
        <w:widowControl/>
        <w:jc w:val="center"/>
        <w:rPr>
          <w:b/>
          <w:sz w:val="24"/>
        </w:rPr>
      </w:pPr>
    </w:p>
    <w:p>
      <w:pPr>
        <w:widowControl/>
        <w:jc w:val="center"/>
      </w:pPr>
    </w:p>
    <w:p>
      <w:pPr>
        <w:pStyle w:val="6"/>
        <w:jc w:val="center"/>
      </w:pPr>
    </w:p>
    <w:sectPr>
      <w:pgSz w:w="11906" w:h="16838"/>
      <w:pgMar w:top="1134" w:right="1134" w:bottom="1134" w:left="113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8674" w:hanging="8674" w:hangingChars="4800"/>
    </w:pPr>
    <w:r>
      <w:pict>
        <v:shape id="_x0000_s2052" o:spid="_x0000_s2052" o:spt="202" type="#_x0000_t202" style="position:absolute;left:0pt;margin-top:0pt;height:144pt;width:144pt;mso-position-horizontal:right;mso-position-horizontal-relative:margin;mso-wrap-style:none;z-index:251665408;mso-width-relative:page;mso-height-relative:page;" filled="f" stroked="f" coordsize="21600,21600">
          <v:path/>
          <v:fill on="f" focussize="0,0"/>
          <v:stroke on="f" weight="0.5pt" dashstyle="dashDot" endarrow="block"/>
          <v:imagedata o:title=""/>
          <o:lock v:ext="edit"/>
          <v:textbox inset="0mm,0mm,0mm,0mm" style="mso-fit-shape-to-text:t;">
            <w:txbxContent>
              <w:p>
                <w:pPr>
                  <w:pStyle w:val="23"/>
                  <w:ind w:left="8674" w:hanging="8674" w:hangingChars="4800"/>
                </w:pPr>
                <w:r>
                  <w:rPr>
                    <w:rFonts w:hint="eastAsia"/>
                  </w:rPr>
                  <w:t xml:space="preserve">华润新能源（睢宁）有限公司 第 </w:t>
                </w:r>
                <w:r>
                  <w:fldChar w:fldCharType="begin"/>
                </w:r>
                <w:r>
                  <w:instrText xml:space="preserve"> PAGE </w:instrText>
                </w:r>
                <w:r>
                  <w:fldChar w:fldCharType="separate"/>
                </w:r>
                <w:r>
                  <w:t>32</w:t>
                </w:r>
                <w:r>
                  <w:fldChar w:fldCharType="end"/>
                </w:r>
                <w:r>
                  <w:rPr>
                    <w:rFonts w:hint="eastAsia"/>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8674" w:hanging="8674" w:hangingChars="4800"/>
    </w:pPr>
    <w:r>
      <w:pict>
        <v:shape id="_x0000_s2053" o:spid="_x0000_s2053" o:spt="202" type="#_x0000_t202" style="position:absolute;left:0pt;margin-top:0pt;height:144pt;width:144pt;mso-position-horizontal:right;mso-position-horizontal-relative:margin;mso-wrap-style:none;z-index:251666432;mso-width-relative:page;mso-height-relative:page;" filled="f" stroked="f" coordsize="21600,21600">
          <v:path/>
          <v:fill on="f" focussize="0,0"/>
          <v:stroke on="f" weight="0.5pt" dashstyle="dashDot" endarrow="block"/>
          <v:imagedata o:title=""/>
          <o:lock v:ext="edit"/>
          <v:textbox inset="0mm,0mm,0mm,0mm" style="mso-fit-shape-to-text:t;">
            <w:txbxContent>
              <w:p>
                <w:pPr>
                  <w:pStyle w:val="23"/>
                  <w:ind w:left="8674" w:hanging="8674" w:hangingChars="4800"/>
                </w:pPr>
                <w:r>
                  <w:rPr>
                    <w:rFonts w:hint="eastAsia"/>
                  </w:rPr>
                  <w:t xml:space="preserve">华润新能源（睢宁）有限公司 第 </w:t>
                </w:r>
                <w:r>
                  <w:fldChar w:fldCharType="begin"/>
                </w:r>
                <w:r>
                  <w:instrText xml:space="preserve"> PAGE </w:instrText>
                </w:r>
                <w:r>
                  <w:fldChar w:fldCharType="separate"/>
                </w:r>
                <w:r>
                  <w:t>21</w:t>
                </w:r>
                <w:r>
                  <w:fldChar w:fldCharType="end"/>
                </w:r>
                <w:r>
                  <w:rPr>
                    <w:rFonts w:hint="eastAsia"/>
                  </w:rPr>
                  <w:t xml:space="preserve"> 页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both"/>
    </w:pPr>
    <w:r>
      <w:pict>
        <v:shape id="_x0000_s2050" o:spid="_x0000_s2050" o:spt="202" type="#_x0000_t202" style="position:absolute;left:0pt;margin-top:0pt;height:144pt;width:144pt;mso-position-horizontal:right;mso-position-horizontal-relative:margin;mso-wrap-style:none;z-index:251663360;mso-width-relative:page;mso-height-relative:page;" filled="f" stroked="f" coordsize="21600,21600">
          <v:path/>
          <v:fill on="f" focussize="0,0"/>
          <v:stroke on="f" weight="0.5pt" dashstyle="dashDot" endarrow="block"/>
          <v:imagedata o:title=""/>
          <o:lock v:ext="edit"/>
          <v:textbox inset="0mm,0mm,0mm,0mm" style="mso-fit-shape-to-text:t;">
            <w:txbxContent>
              <w:p>
                <w:pPr>
                  <w:pStyle w:val="23"/>
                </w:pPr>
                <w:r>
                  <w:t xml:space="preserve">第 </w:t>
                </w:r>
                <w:r>
                  <w:fldChar w:fldCharType="begin"/>
                </w:r>
                <w:r>
                  <w:instrText xml:space="preserve"> PAGE  \* MERGEFORMAT </w:instrText>
                </w:r>
                <w:r>
                  <w:fldChar w:fldCharType="separate"/>
                </w:r>
                <w:r>
                  <w:t>25</w:t>
                </w:r>
                <w:r>
                  <w:fldChar w:fldCharType="end"/>
                </w:r>
                <w:r>
                  <w:t xml:space="preserve"> 页</w:t>
                </w:r>
              </w:p>
            </w:txbxContent>
          </v:textbox>
        </v:shape>
      </w:pict>
    </w:r>
    <w:r>
      <w:rPr>
        <w:rFonts w:hint="eastAsia"/>
      </w:rPr>
      <w:t>华润新能源（睢宁）有限公司</w:t>
    </w:r>
  </w:p>
  <w:p>
    <w:pPr>
      <w:pStyle w:val="23"/>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0" w:firstLine="0" w:firstLineChars="0"/>
      <w:jc w:val="both"/>
    </w:pPr>
    <w:r>
      <w:pict>
        <v:shape id="_x0000_s2051" o:spid="_x0000_s2051" o:spt="202" type="#_x0000_t202" style="position:absolute;left:0pt;margin-top:0pt;height:144pt;width:144pt;mso-position-horizontal:right;mso-position-horizontal-relative:margin;mso-wrap-style:none;z-index:251664384;mso-width-relative:page;mso-height-relative:page;" filled="f" stroked="f" coordsize="21600,21600">
          <v:path/>
          <v:fill on="f" focussize="0,0"/>
          <v:stroke on="f" weight="0.5pt" joinstyle="miter"/>
          <v:imagedata o:title=""/>
          <o:lock v:ext="edit"/>
          <v:textbox inset="0mm,0mm,0mm,0mm" style="mso-fit-shape-to-text:t;">
            <w:txbxContent>
              <w:p>
                <w:pPr>
                  <w:pStyle w:val="23"/>
                </w:pPr>
                <w:r>
                  <w:t xml:space="preserve">第 </w:t>
                </w:r>
                <w:r>
                  <w:fldChar w:fldCharType="begin"/>
                </w:r>
                <w:r>
                  <w:instrText xml:space="preserve"> PAGE  \* MERGEFORMAT </w:instrText>
                </w:r>
                <w:r>
                  <w:fldChar w:fldCharType="separate"/>
                </w:r>
                <w:r>
                  <w:t>43</w:t>
                </w:r>
                <w:r>
                  <w:fldChar w:fldCharType="end"/>
                </w:r>
                <w:r>
                  <w:t xml:space="preserve"> 页</w:t>
                </w:r>
              </w:p>
            </w:txbxContent>
          </v:textbox>
        </v:shape>
      </w:pict>
    </w:r>
    <w:r>
      <w:rPr>
        <w:rFonts w:hint="eastAsia"/>
      </w:rPr>
      <w:t>华润新能源（睢宁）有限公司</w:t>
    </w:r>
  </w:p>
  <w:p>
    <w:pPr>
      <w:pStyle w:val="23"/>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b/>
        <w:bCs/>
      </w:rPr>
    </w:pPr>
    <w:r>
      <w:rPr>
        <w:rFonts w:hint="eastAsia"/>
        <w:b/>
        <w:bCs/>
      </w:rPr>
      <w:t>华润新能源（睢宁）有限公司一期风电项目配套110kV升压站工程</w:t>
    </w:r>
    <w:r>
      <w:rPr>
        <w:b/>
        <w:bCs/>
      </w:rPr>
      <w:t>竣工环境保护验收</w:t>
    </w:r>
    <w:r>
      <w:rPr>
        <w:rFonts w:hint="eastAsia"/>
        <w:b/>
        <w:bCs/>
      </w:rPr>
      <w:t>调查表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488C2D"/>
    <w:multiLevelType w:val="singleLevel"/>
    <w:tmpl w:val="A4488C2D"/>
    <w:lvl w:ilvl="0" w:tentative="0">
      <w:start w:val="1"/>
      <w:numFmt w:val="chineseCounting"/>
      <w:suff w:val="nothing"/>
      <w:lvlText w:val="（%1）"/>
      <w:lvlJc w:val="left"/>
      <w:rPr>
        <w:rFonts w:hint="eastAsia"/>
      </w:rPr>
    </w:lvl>
  </w:abstractNum>
  <w:abstractNum w:abstractNumId="1">
    <w:nsid w:val="BFD49C2C"/>
    <w:multiLevelType w:val="singleLevel"/>
    <w:tmpl w:val="BFD49C2C"/>
    <w:lvl w:ilvl="0" w:tentative="0">
      <w:start w:val="1"/>
      <w:numFmt w:val="chineseCounting"/>
      <w:suff w:val="nothing"/>
      <w:lvlText w:val="%1、"/>
      <w:lvlJc w:val="left"/>
      <w:rPr>
        <w:rFonts w:hint="eastAsia"/>
        <w:sz w:val="24"/>
        <w:szCs w:val="24"/>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172A27"/>
    <w:rsid w:val="000001FC"/>
    <w:rsid w:val="000007D6"/>
    <w:rsid w:val="00000BA9"/>
    <w:rsid w:val="00000BD0"/>
    <w:rsid w:val="00000EF1"/>
    <w:rsid w:val="000016D5"/>
    <w:rsid w:val="000018DC"/>
    <w:rsid w:val="00001FA3"/>
    <w:rsid w:val="000035D9"/>
    <w:rsid w:val="00003B8C"/>
    <w:rsid w:val="00003C57"/>
    <w:rsid w:val="000041B0"/>
    <w:rsid w:val="000041E7"/>
    <w:rsid w:val="0000490F"/>
    <w:rsid w:val="0000514D"/>
    <w:rsid w:val="0000589B"/>
    <w:rsid w:val="00006549"/>
    <w:rsid w:val="00006765"/>
    <w:rsid w:val="000105CE"/>
    <w:rsid w:val="00010F19"/>
    <w:rsid w:val="0001190C"/>
    <w:rsid w:val="0001268D"/>
    <w:rsid w:val="00012E0B"/>
    <w:rsid w:val="000136BC"/>
    <w:rsid w:val="0001370E"/>
    <w:rsid w:val="00013BDD"/>
    <w:rsid w:val="00014BCA"/>
    <w:rsid w:val="00015060"/>
    <w:rsid w:val="00015184"/>
    <w:rsid w:val="00015D60"/>
    <w:rsid w:val="00015DEF"/>
    <w:rsid w:val="00016628"/>
    <w:rsid w:val="0001672D"/>
    <w:rsid w:val="0001700E"/>
    <w:rsid w:val="0001735C"/>
    <w:rsid w:val="00017603"/>
    <w:rsid w:val="00017B0E"/>
    <w:rsid w:val="00017B19"/>
    <w:rsid w:val="00017D74"/>
    <w:rsid w:val="00017FC7"/>
    <w:rsid w:val="000202BE"/>
    <w:rsid w:val="00020EC8"/>
    <w:rsid w:val="00021779"/>
    <w:rsid w:val="00021E91"/>
    <w:rsid w:val="00021FB0"/>
    <w:rsid w:val="0002344B"/>
    <w:rsid w:val="00023823"/>
    <w:rsid w:val="00024285"/>
    <w:rsid w:val="000246E5"/>
    <w:rsid w:val="000246F0"/>
    <w:rsid w:val="00024A35"/>
    <w:rsid w:val="0002537B"/>
    <w:rsid w:val="000253E3"/>
    <w:rsid w:val="00026417"/>
    <w:rsid w:val="000269DE"/>
    <w:rsid w:val="00026ACB"/>
    <w:rsid w:val="00026D08"/>
    <w:rsid w:val="00026FF1"/>
    <w:rsid w:val="00027645"/>
    <w:rsid w:val="00027BF6"/>
    <w:rsid w:val="00030749"/>
    <w:rsid w:val="00030E21"/>
    <w:rsid w:val="000312F7"/>
    <w:rsid w:val="000321D1"/>
    <w:rsid w:val="00032821"/>
    <w:rsid w:val="00032B68"/>
    <w:rsid w:val="00033895"/>
    <w:rsid w:val="000341ED"/>
    <w:rsid w:val="00034CD0"/>
    <w:rsid w:val="00035030"/>
    <w:rsid w:val="00035A35"/>
    <w:rsid w:val="00035B68"/>
    <w:rsid w:val="00035BE5"/>
    <w:rsid w:val="000364DA"/>
    <w:rsid w:val="000369A5"/>
    <w:rsid w:val="00036AB7"/>
    <w:rsid w:val="00036C33"/>
    <w:rsid w:val="00036CA1"/>
    <w:rsid w:val="00037174"/>
    <w:rsid w:val="00037194"/>
    <w:rsid w:val="00037A0A"/>
    <w:rsid w:val="00037A93"/>
    <w:rsid w:val="00037BC0"/>
    <w:rsid w:val="00040008"/>
    <w:rsid w:val="000407EC"/>
    <w:rsid w:val="00041137"/>
    <w:rsid w:val="000416AA"/>
    <w:rsid w:val="000418EE"/>
    <w:rsid w:val="000419B1"/>
    <w:rsid w:val="00041A04"/>
    <w:rsid w:val="00042B94"/>
    <w:rsid w:val="00043E63"/>
    <w:rsid w:val="00043FFA"/>
    <w:rsid w:val="00044FF1"/>
    <w:rsid w:val="0004562C"/>
    <w:rsid w:val="00045CC0"/>
    <w:rsid w:val="00047303"/>
    <w:rsid w:val="00047B93"/>
    <w:rsid w:val="000500BA"/>
    <w:rsid w:val="00050B6C"/>
    <w:rsid w:val="00050F61"/>
    <w:rsid w:val="00051BF7"/>
    <w:rsid w:val="000520D7"/>
    <w:rsid w:val="00052FD0"/>
    <w:rsid w:val="00053E60"/>
    <w:rsid w:val="00053E8A"/>
    <w:rsid w:val="00054899"/>
    <w:rsid w:val="00055055"/>
    <w:rsid w:val="00055B1B"/>
    <w:rsid w:val="00055F11"/>
    <w:rsid w:val="000562F7"/>
    <w:rsid w:val="0005692A"/>
    <w:rsid w:val="00056E67"/>
    <w:rsid w:val="00057594"/>
    <w:rsid w:val="00057665"/>
    <w:rsid w:val="00057D80"/>
    <w:rsid w:val="00061845"/>
    <w:rsid w:val="00061887"/>
    <w:rsid w:val="00061AD1"/>
    <w:rsid w:val="00061F2A"/>
    <w:rsid w:val="00063634"/>
    <w:rsid w:val="00063652"/>
    <w:rsid w:val="00063C09"/>
    <w:rsid w:val="00063E3F"/>
    <w:rsid w:val="000644EA"/>
    <w:rsid w:val="000645ED"/>
    <w:rsid w:val="000647CF"/>
    <w:rsid w:val="00064AC1"/>
    <w:rsid w:val="000654FE"/>
    <w:rsid w:val="0006586F"/>
    <w:rsid w:val="00065C3C"/>
    <w:rsid w:val="00066309"/>
    <w:rsid w:val="00066AF7"/>
    <w:rsid w:val="0006735A"/>
    <w:rsid w:val="000677E7"/>
    <w:rsid w:val="000711F4"/>
    <w:rsid w:val="0007169B"/>
    <w:rsid w:val="00071799"/>
    <w:rsid w:val="00071F49"/>
    <w:rsid w:val="00072744"/>
    <w:rsid w:val="00072882"/>
    <w:rsid w:val="00072D62"/>
    <w:rsid w:val="00072D87"/>
    <w:rsid w:val="00072FC2"/>
    <w:rsid w:val="000743EA"/>
    <w:rsid w:val="00074FDF"/>
    <w:rsid w:val="00075832"/>
    <w:rsid w:val="0007587F"/>
    <w:rsid w:val="00075F90"/>
    <w:rsid w:val="00076564"/>
    <w:rsid w:val="000769A3"/>
    <w:rsid w:val="00076F0B"/>
    <w:rsid w:val="000774A5"/>
    <w:rsid w:val="0008057C"/>
    <w:rsid w:val="00080F26"/>
    <w:rsid w:val="00082DB9"/>
    <w:rsid w:val="00083B55"/>
    <w:rsid w:val="00083C9F"/>
    <w:rsid w:val="000843C4"/>
    <w:rsid w:val="00085409"/>
    <w:rsid w:val="00085903"/>
    <w:rsid w:val="00085DD0"/>
    <w:rsid w:val="00086722"/>
    <w:rsid w:val="00086A81"/>
    <w:rsid w:val="00086CAC"/>
    <w:rsid w:val="00087AC2"/>
    <w:rsid w:val="00091174"/>
    <w:rsid w:val="0009119F"/>
    <w:rsid w:val="000912F4"/>
    <w:rsid w:val="000913F3"/>
    <w:rsid w:val="000917A2"/>
    <w:rsid w:val="00091CC8"/>
    <w:rsid w:val="000924F2"/>
    <w:rsid w:val="000927B4"/>
    <w:rsid w:val="00092BC5"/>
    <w:rsid w:val="00094BB1"/>
    <w:rsid w:val="00094E70"/>
    <w:rsid w:val="0009506B"/>
    <w:rsid w:val="0009548D"/>
    <w:rsid w:val="0009585D"/>
    <w:rsid w:val="00096488"/>
    <w:rsid w:val="00096DF5"/>
    <w:rsid w:val="000971B1"/>
    <w:rsid w:val="00097392"/>
    <w:rsid w:val="00097686"/>
    <w:rsid w:val="000A022E"/>
    <w:rsid w:val="000A138E"/>
    <w:rsid w:val="000A13CA"/>
    <w:rsid w:val="000A1834"/>
    <w:rsid w:val="000A1EC2"/>
    <w:rsid w:val="000A264A"/>
    <w:rsid w:val="000A2889"/>
    <w:rsid w:val="000A2D9A"/>
    <w:rsid w:val="000A32D7"/>
    <w:rsid w:val="000A3F59"/>
    <w:rsid w:val="000A6E05"/>
    <w:rsid w:val="000A6FA7"/>
    <w:rsid w:val="000A7A31"/>
    <w:rsid w:val="000B06B5"/>
    <w:rsid w:val="000B2223"/>
    <w:rsid w:val="000B370E"/>
    <w:rsid w:val="000B3C46"/>
    <w:rsid w:val="000B4A6E"/>
    <w:rsid w:val="000B4F05"/>
    <w:rsid w:val="000B67FF"/>
    <w:rsid w:val="000B6BF4"/>
    <w:rsid w:val="000B7462"/>
    <w:rsid w:val="000B7C1C"/>
    <w:rsid w:val="000B7FBF"/>
    <w:rsid w:val="000C008B"/>
    <w:rsid w:val="000C00A3"/>
    <w:rsid w:val="000C1295"/>
    <w:rsid w:val="000C194E"/>
    <w:rsid w:val="000C2461"/>
    <w:rsid w:val="000C28AF"/>
    <w:rsid w:val="000C2B10"/>
    <w:rsid w:val="000C2F3C"/>
    <w:rsid w:val="000C3384"/>
    <w:rsid w:val="000C3F41"/>
    <w:rsid w:val="000C51B7"/>
    <w:rsid w:val="000C5E84"/>
    <w:rsid w:val="000C7198"/>
    <w:rsid w:val="000C76AB"/>
    <w:rsid w:val="000C7A89"/>
    <w:rsid w:val="000D00E8"/>
    <w:rsid w:val="000D0109"/>
    <w:rsid w:val="000D0621"/>
    <w:rsid w:val="000D0703"/>
    <w:rsid w:val="000D08B5"/>
    <w:rsid w:val="000D0F4B"/>
    <w:rsid w:val="000D102F"/>
    <w:rsid w:val="000D172A"/>
    <w:rsid w:val="000D1A00"/>
    <w:rsid w:val="000D1BB1"/>
    <w:rsid w:val="000D265C"/>
    <w:rsid w:val="000D2E1F"/>
    <w:rsid w:val="000D3035"/>
    <w:rsid w:val="000D3A02"/>
    <w:rsid w:val="000D47B1"/>
    <w:rsid w:val="000D49BC"/>
    <w:rsid w:val="000D4B81"/>
    <w:rsid w:val="000D546E"/>
    <w:rsid w:val="000D5B5C"/>
    <w:rsid w:val="000D5C58"/>
    <w:rsid w:val="000D5D65"/>
    <w:rsid w:val="000D616B"/>
    <w:rsid w:val="000D61BB"/>
    <w:rsid w:val="000D6DFE"/>
    <w:rsid w:val="000D6F82"/>
    <w:rsid w:val="000D7019"/>
    <w:rsid w:val="000D70F9"/>
    <w:rsid w:val="000D7D19"/>
    <w:rsid w:val="000E0130"/>
    <w:rsid w:val="000E0195"/>
    <w:rsid w:val="000E0A07"/>
    <w:rsid w:val="000E105A"/>
    <w:rsid w:val="000E16C2"/>
    <w:rsid w:val="000E2A08"/>
    <w:rsid w:val="000E2E32"/>
    <w:rsid w:val="000E3A5C"/>
    <w:rsid w:val="000E3F30"/>
    <w:rsid w:val="000E4D2E"/>
    <w:rsid w:val="000E533A"/>
    <w:rsid w:val="000E58D3"/>
    <w:rsid w:val="000E5BEC"/>
    <w:rsid w:val="000E5DF9"/>
    <w:rsid w:val="000F0221"/>
    <w:rsid w:val="000F08D0"/>
    <w:rsid w:val="000F0D7E"/>
    <w:rsid w:val="000F0E52"/>
    <w:rsid w:val="000F1151"/>
    <w:rsid w:val="000F12B8"/>
    <w:rsid w:val="000F1FD4"/>
    <w:rsid w:val="000F2B79"/>
    <w:rsid w:val="000F2D2D"/>
    <w:rsid w:val="000F2D33"/>
    <w:rsid w:val="000F31BD"/>
    <w:rsid w:val="000F3389"/>
    <w:rsid w:val="000F3939"/>
    <w:rsid w:val="000F3F87"/>
    <w:rsid w:val="000F473B"/>
    <w:rsid w:val="000F4811"/>
    <w:rsid w:val="000F4944"/>
    <w:rsid w:val="000F5644"/>
    <w:rsid w:val="000F61BF"/>
    <w:rsid w:val="000F6305"/>
    <w:rsid w:val="000F7421"/>
    <w:rsid w:val="000F75F9"/>
    <w:rsid w:val="000F768E"/>
    <w:rsid w:val="000F796C"/>
    <w:rsid w:val="000F7A10"/>
    <w:rsid w:val="000F7DA5"/>
    <w:rsid w:val="001001EF"/>
    <w:rsid w:val="0010037D"/>
    <w:rsid w:val="00101138"/>
    <w:rsid w:val="00102606"/>
    <w:rsid w:val="0010366C"/>
    <w:rsid w:val="00104535"/>
    <w:rsid w:val="00104CB6"/>
    <w:rsid w:val="00106220"/>
    <w:rsid w:val="001065CA"/>
    <w:rsid w:val="0010740F"/>
    <w:rsid w:val="001074B4"/>
    <w:rsid w:val="001074C4"/>
    <w:rsid w:val="00107504"/>
    <w:rsid w:val="00107857"/>
    <w:rsid w:val="00107911"/>
    <w:rsid w:val="001106F0"/>
    <w:rsid w:val="00110B93"/>
    <w:rsid w:val="00110C65"/>
    <w:rsid w:val="00111360"/>
    <w:rsid w:val="00111580"/>
    <w:rsid w:val="0011165E"/>
    <w:rsid w:val="001122EB"/>
    <w:rsid w:val="001123A1"/>
    <w:rsid w:val="001131F2"/>
    <w:rsid w:val="00114946"/>
    <w:rsid w:val="001149AA"/>
    <w:rsid w:val="00114DA5"/>
    <w:rsid w:val="00114EAF"/>
    <w:rsid w:val="00115095"/>
    <w:rsid w:val="00115B60"/>
    <w:rsid w:val="00115C7B"/>
    <w:rsid w:val="0011608F"/>
    <w:rsid w:val="001169E8"/>
    <w:rsid w:val="00116FE6"/>
    <w:rsid w:val="001170C3"/>
    <w:rsid w:val="0011712E"/>
    <w:rsid w:val="0011793A"/>
    <w:rsid w:val="00117E84"/>
    <w:rsid w:val="00120160"/>
    <w:rsid w:val="001208C5"/>
    <w:rsid w:val="00121AED"/>
    <w:rsid w:val="00121D07"/>
    <w:rsid w:val="00121D83"/>
    <w:rsid w:val="0012230F"/>
    <w:rsid w:val="001225D0"/>
    <w:rsid w:val="00122875"/>
    <w:rsid w:val="00122B22"/>
    <w:rsid w:val="00122BC2"/>
    <w:rsid w:val="001234FA"/>
    <w:rsid w:val="00123800"/>
    <w:rsid w:val="001256E6"/>
    <w:rsid w:val="001256EF"/>
    <w:rsid w:val="001259B4"/>
    <w:rsid w:val="00125B88"/>
    <w:rsid w:val="00125EB2"/>
    <w:rsid w:val="00125FA2"/>
    <w:rsid w:val="001267B3"/>
    <w:rsid w:val="00126DBF"/>
    <w:rsid w:val="00126E92"/>
    <w:rsid w:val="00127344"/>
    <w:rsid w:val="00127721"/>
    <w:rsid w:val="001278CA"/>
    <w:rsid w:val="00127BA0"/>
    <w:rsid w:val="0013000F"/>
    <w:rsid w:val="00130836"/>
    <w:rsid w:val="00130AC4"/>
    <w:rsid w:val="00130B92"/>
    <w:rsid w:val="00130E01"/>
    <w:rsid w:val="00130F10"/>
    <w:rsid w:val="00131163"/>
    <w:rsid w:val="00132888"/>
    <w:rsid w:val="00133C04"/>
    <w:rsid w:val="0013403E"/>
    <w:rsid w:val="00134E69"/>
    <w:rsid w:val="001352F6"/>
    <w:rsid w:val="00135761"/>
    <w:rsid w:val="00135C83"/>
    <w:rsid w:val="00136086"/>
    <w:rsid w:val="00136512"/>
    <w:rsid w:val="00136CF1"/>
    <w:rsid w:val="00136FCB"/>
    <w:rsid w:val="00137027"/>
    <w:rsid w:val="00137153"/>
    <w:rsid w:val="001371CA"/>
    <w:rsid w:val="0013778D"/>
    <w:rsid w:val="00137FF3"/>
    <w:rsid w:val="00140045"/>
    <w:rsid w:val="001409F1"/>
    <w:rsid w:val="00140A5A"/>
    <w:rsid w:val="001412B5"/>
    <w:rsid w:val="0014168E"/>
    <w:rsid w:val="00141991"/>
    <w:rsid w:val="00141BB4"/>
    <w:rsid w:val="00142AE7"/>
    <w:rsid w:val="00142B9F"/>
    <w:rsid w:val="00144F8D"/>
    <w:rsid w:val="00145193"/>
    <w:rsid w:val="001454B9"/>
    <w:rsid w:val="00145987"/>
    <w:rsid w:val="0014712F"/>
    <w:rsid w:val="0014734C"/>
    <w:rsid w:val="0014798D"/>
    <w:rsid w:val="00147E62"/>
    <w:rsid w:val="00150A86"/>
    <w:rsid w:val="00150C14"/>
    <w:rsid w:val="00150EB0"/>
    <w:rsid w:val="00151257"/>
    <w:rsid w:val="00151C17"/>
    <w:rsid w:val="00151EDF"/>
    <w:rsid w:val="00152201"/>
    <w:rsid w:val="00152451"/>
    <w:rsid w:val="00152B22"/>
    <w:rsid w:val="001532DA"/>
    <w:rsid w:val="00153964"/>
    <w:rsid w:val="001543BA"/>
    <w:rsid w:val="00154F1D"/>
    <w:rsid w:val="00156FD9"/>
    <w:rsid w:val="00157184"/>
    <w:rsid w:val="00157499"/>
    <w:rsid w:val="0015780E"/>
    <w:rsid w:val="00157930"/>
    <w:rsid w:val="0016035A"/>
    <w:rsid w:val="001604D7"/>
    <w:rsid w:val="001610C8"/>
    <w:rsid w:val="001611CC"/>
    <w:rsid w:val="001617F8"/>
    <w:rsid w:val="00161C96"/>
    <w:rsid w:val="00161D13"/>
    <w:rsid w:val="0016257B"/>
    <w:rsid w:val="00162EAE"/>
    <w:rsid w:val="00163041"/>
    <w:rsid w:val="00163831"/>
    <w:rsid w:val="00164347"/>
    <w:rsid w:val="00164797"/>
    <w:rsid w:val="00164ACF"/>
    <w:rsid w:val="001652FD"/>
    <w:rsid w:val="0016565B"/>
    <w:rsid w:val="00165675"/>
    <w:rsid w:val="00165A9B"/>
    <w:rsid w:val="00165BD0"/>
    <w:rsid w:val="00165DF7"/>
    <w:rsid w:val="00165F1A"/>
    <w:rsid w:val="00166277"/>
    <w:rsid w:val="001665BD"/>
    <w:rsid w:val="00166BE2"/>
    <w:rsid w:val="00166EBE"/>
    <w:rsid w:val="00167C78"/>
    <w:rsid w:val="00167D61"/>
    <w:rsid w:val="00167EEF"/>
    <w:rsid w:val="00167FA3"/>
    <w:rsid w:val="00170020"/>
    <w:rsid w:val="00170030"/>
    <w:rsid w:val="00170F83"/>
    <w:rsid w:val="00171111"/>
    <w:rsid w:val="0017197C"/>
    <w:rsid w:val="00171B74"/>
    <w:rsid w:val="00171D62"/>
    <w:rsid w:val="00172A27"/>
    <w:rsid w:val="00172C87"/>
    <w:rsid w:val="00173BD1"/>
    <w:rsid w:val="0017629A"/>
    <w:rsid w:val="00176ADE"/>
    <w:rsid w:val="00176C63"/>
    <w:rsid w:val="00176D78"/>
    <w:rsid w:val="001772B1"/>
    <w:rsid w:val="00177634"/>
    <w:rsid w:val="00177E93"/>
    <w:rsid w:val="0018148F"/>
    <w:rsid w:val="0018185C"/>
    <w:rsid w:val="00181D30"/>
    <w:rsid w:val="00181F71"/>
    <w:rsid w:val="00182814"/>
    <w:rsid w:val="00182CDD"/>
    <w:rsid w:val="00182E1C"/>
    <w:rsid w:val="00183277"/>
    <w:rsid w:val="001836E4"/>
    <w:rsid w:val="00183B1E"/>
    <w:rsid w:val="00183E40"/>
    <w:rsid w:val="001842C5"/>
    <w:rsid w:val="001843E6"/>
    <w:rsid w:val="00184E6F"/>
    <w:rsid w:val="00186248"/>
    <w:rsid w:val="00186670"/>
    <w:rsid w:val="00186998"/>
    <w:rsid w:val="00186E17"/>
    <w:rsid w:val="00186F6A"/>
    <w:rsid w:val="001872DF"/>
    <w:rsid w:val="00190E99"/>
    <w:rsid w:val="001910CF"/>
    <w:rsid w:val="00191342"/>
    <w:rsid w:val="0019308E"/>
    <w:rsid w:val="00193429"/>
    <w:rsid w:val="00193E67"/>
    <w:rsid w:val="0019484D"/>
    <w:rsid w:val="001959AE"/>
    <w:rsid w:val="00195F5F"/>
    <w:rsid w:val="00196540"/>
    <w:rsid w:val="00197353"/>
    <w:rsid w:val="00197467"/>
    <w:rsid w:val="0019789B"/>
    <w:rsid w:val="00197AAE"/>
    <w:rsid w:val="00197DFF"/>
    <w:rsid w:val="001A1C66"/>
    <w:rsid w:val="001A1D30"/>
    <w:rsid w:val="001A22AB"/>
    <w:rsid w:val="001A2511"/>
    <w:rsid w:val="001A2812"/>
    <w:rsid w:val="001A2DA7"/>
    <w:rsid w:val="001A30CB"/>
    <w:rsid w:val="001A3CD3"/>
    <w:rsid w:val="001A43C5"/>
    <w:rsid w:val="001A4EF7"/>
    <w:rsid w:val="001A5AE2"/>
    <w:rsid w:val="001A622E"/>
    <w:rsid w:val="001A62DF"/>
    <w:rsid w:val="001A6AA7"/>
    <w:rsid w:val="001A6DBD"/>
    <w:rsid w:val="001A7777"/>
    <w:rsid w:val="001A7E8F"/>
    <w:rsid w:val="001B23E0"/>
    <w:rsid w:val="001B302A"/>
    <w:rsid w:val="001B35E7"/>
    <w:rsid w:val="001B5185"/>
    <w:rsid w:val="001B51DB"/>
    <w:rsid w:val="001B6B1C"/>
    <w:rsid w:val="001B7042"/>
    <w:rsid w:val="001B711E"/>
    <w:rsid w:val="001B7226"/>
    <w:rsid w:val="001B73DE"/>
    <w:rsid w:val="001B7802"/>
    <w:rsid w:val="001B7EE3"/>
    <w:rsid w:val="001C03D3"/>
    <w:rsid w:val="001C06B4"/>
    <w:rsid w:val="001C0B99"/>
    <w:rsid w:val="001C16C7"/>
    <w:rsid w:val="001C17BF"/>
    <w:rsid w:val="001C1EE2"/>
    <w:rsid w:val="001C271C"/>
    <w:rsid w:val="001C2FB8"/>
    <w:rsid w:val="001C3290"/>
    <w:rsid w:val="001C3541"/>
    <w:rsid w:val="001C426B"/>
    <w:rsid w:val="001C42D1"/>
    <w:rsid w:val="001C43EB"/>
    <w:rsid w:val="001C4ADC"/>
    <w:rsid w:val="001C57F2"/>
    <w:rsid w:val="001C5C25"/>
    <w:rsid w:val="001C5D38"/>
    <w:rsid w:val="001C65B1"/>
    <w:rsid w:val="001C77A3"/>
    <w:rsid w:val="001C7A14"/>
    <w:rsid w:val="001C7BDF"/>
    <w:rsid w:val="001C7C9C"/>
    <w:rsid w:val="001C7F5C"/>
    <w:rsid w:val="001D0134"/>
    <w:rsid w:val="001D0926"/>
    <w:rsid w:val="001D217C"/>
    <w:rsid w:val="001D27CC"/>
    <w:rsid w:val="001D33F3"/>
    <w:rsid w:val="001D442D"/>
    <w:rsid w:val="001D57BF"/>
    <w:rsid w:val="001D5BC2"/>
    <w:rsid w:val="001D5EE5"/>
    <w:rsid w:val="001D5FDF"/>
    <w:rsid w:val="001D6897"/>
    <w:rsid w:val="001D6953"/>
    <w:rsid w:val="001D6A64"/>
    <w:rsid w:val="001D6F68"/>
    <w:rsid w:val="001D7262"/>
    <w:rsid w:val="001D72B7"/>
    <w:rsid w:val="001D74FC"/>
    <w:rsid w:val="001D7A1D"/>
    <w:rsid w:val="001D7F74"/>
    <w:rsid w:val="001E0931"/>
    <w:rsid w:val="001E0E3C"/>
    <w:rsid w:val="001E1155"/>
    <w:rsid w:val="001E121A"/>
    <w:rsid w:val="001E13AA"/>
    <w:rsid w:val="001E15D9"/>
    <w:rsid w:val="001E1F65"/>
    <w:rsid w:val="001E28BE"/>
    <w:rsid w:val="001E310D"/>
    <w:rsid w:val="001E37A5"/>
    <w:rsid w:val="001E4BD1"/>
    <w:rsid w:val="001E55CC"/>
    <w:rsid w:val="001E5650"/>
    <w:rsid w:val="001E58C1"/>
    <w:rsid w:val="001E6F23"/>
    <w:rsid w:val="001E70F7"/>
    <w:rsid w:val="001E79AF"/>
    <w:rsid w:val="001F0133"/>
    <w:rsid w:val="001F0689"/>
    <w:rsid w:val="001F087B"/>
    <w:rsid w:val="001F105F"/>
    <w:rsid w:val="001F217F"/>
    <w:rsid w:val="001F24E3"/>
    <w:rsid w:val="001F2625"/>
    <w:rsid w:val="001F2727"/>
    <w:rsid w:val="001F321B"/>
    <w:rsid w:val="001F342E"/>
    <w:rsid w:val="001F442F"/>
    <w:rsid w:val="001F44F8"/>
    <w:rsid w:val="001F4539"/>
    <w:rsid w:val="001F5180"/>
    <w:rsid w:val="001F5442"/>
    <w:rsid w:val="001F5A90"/>
    <w:rsid w:val="001F5A91"/>
    <w:rsid w:val="001F62FA"/>
    <w:rsid w:val="001F7462"/>
    <w:rsid w:val="001F7E7F"/>
    <w:rsid w:val="002004D2"/>
    <w:rsid w:val="002015FE"/>
    <w:rsid w:val="00201E8A"/>
    <w:rsid w:val="0020204C"/>
    <w:rsid w:val="002024EA"/>
    <w:rsid w:val="0020287B"/>
    <w:rsid w:val="00202F75"/>
    <w:rsid w:val="00203010"/>
    <w:rsid w:val="00203230"/>
    <w:rsid w:val="00203286"/>
    <w:rsid w:val="002040AC"/>
    <w:rsid w:val="002043D8"/>
    <w:rsid w:val="0020462A"/>
    <w:rsid w:val="00204BAA"/>
    <w:rsid w:val="00205033"/>
    <w:rsid w:val="00206907"/>
    <w:rsid w:val="00206AD9"/>
    <w:rsid w:val="00206E44"/>
    <w:rsid w:val="0021097B"/>
    <w:rsid w:val="00210FEB"/>
    <w:rsid w:val="00211D8A"/>
    <w:rsid w:val="002123F6"/>
    <w:rsid w:val="00212A8C"/>
    <w:rsid w:val="0021342C"/>
    <w:rsid w:val="002138D2"/>
    <w:rsid w:val="002139C7"/>
    <w:rsid w:val="00213BFE"/>
    <w:rsid w:val="00214735"/>
    <w:rsid w:val="00214A6D"/>
    <w:rsid w:val="002153AE"/>
    <w:rsid w:val="00215747"/>
    <w:rsid w:val="00215FCD"/>
    <w:rsid w:val="00216621"/>
    <w:rsid w:val="00216C9A"/>
    <w:rsid w:val="00217507"/>
    <w:rsid w:val="00217627"/>
    <w:rsid w:val="0022153F"/>
    <w:rsid w:val="00221BE7"/>
    <w:rsid w:val="00221E8A"/>
    <w:rsid w:val="002228CF"/>
    <w:rsid w:val="00222F6C"/>
    <w:rsid w:val="00222FE4"/>
    <w:rsid w:val="002236E3"/>
    <w:rsid w:val="00223C8D"/>
    <w:rsid w:val="00224047"/>
    <w:rsid w:val="00224424"/>
    <w:rsid w:val="00225727"/>
    <w:rsid w:val="00227146"/>
    <w:rsid w:val="002274EE"/>
    <w:rsid w:val="002276BC"/>
    <w:rsid w:val="00227975"/>
    <w:rsid w:val="00227CDB"/>
    <w:rsid w:val="00230AAF"/>
    <w:rsid w:val="002321F6"/>
    <w:rsid w:val="002322E3"/>
    <w:rsid w:val="00232389"/>
    <w:rsid w:val="00232867"/>
    <w:rsid w:val="00232CD9"/>
    <w:rsid w:val="002330A8"/>
    <w:rsid w:val="002334F3"/>
    <w:rsid w:val="00235590"/>
    <w:rsid w:val="00235AB3"/>
    <w:rsid w:val="00235DCB"/>
    <w:rsid w:val="0023683F"/>
    <w:rsid w:val="00236937"/>
    <w:rsid w:val="00237425"/>
    <w:rsid w:val="002374C8"/>
    <w:rsid w:val="0024077C"/>
    <w:rsid w:val="00240BA2"/>
    <w:rsid w:val="00242090"/>
    <w:rsid w:val="00242763"/>
    <w:rsid w:val="0024292E"/>
    <w:rsid w:val="002430ED"/>
    <w:rsid w:val="00243763"/>
    <w:rsid w:val="00243D31"/>
    <w:rsid w:val="00243F34"/>
    <w:rsid w:val="002448C4"/>
    <w:rsid w:val="0024505A"/>
    <w:rsid w:val="00245061"/>
    <w:rsid w:val="0024583D"/>
    <w:rsid w:val="00246455"/>
    <w:rsid w:val="00246654"/>
    <w:rsid w:val="002466D9"/>
    <w:rsid w:val="00246D5B"/>
    <w:rsid w:val="00247BD6"/>
    <w:rsid w:val="00247D3F"/>
    <w:rsid w:val="00247E5C"/>
    <w:rsid w:val="002510D8"/>
    <w:rsid w:val="00251629"/>
    <w:rsid w:val="00251B24"/>
    <w:rsid w:val="00251D87"/>
    <w:rsid w:val="0025206F"/>
    <w:rsid w:val="002521ED"/>
    <w:rsid w:val="00253140"/>
    <w:rsid w:val="0025433F"/>
    <w:rsid w:val="00254350"/>
    <w:rsid w:val="002545BF"/>
    <w:rsid w:val="002558E0"/>
    <w:rsid w:val="00255C50"/>
    <w:rsid w:val="00255F99"/>
    <w:rsid w:val="002562A8"/>
    <w:rsid w:val="00256448"/>
    <w:rsid w:val="00257080"/>
    <w:rsid w:val="00257487"/>
    <w:rsid w:val="00257AEB"/>
    <w:rsid w:val="00260374"/>
    <w:rsid w:val="00260661"/>
    <w:rsid w:val="0026135E"/>
    <w:rsid w:val="00261C41"/>
    <w:rsid w:val="002621C5"/>
    <w:rsid w:val="002623CB"/>
    <w:rsid w:val="002629C5"/>
    <w:rsid w:val="00262B0F"/>
    <w:rsid w:val="00262D75"/>
    <w:rsid w:val="00263684"/>
    <w:rsid w:val="00263CF2"/>
    <w:rsid w:val="00264653"/>
    <w:rsid w:val="00264A1E"/>
    <w:rsid w:val="0026579E"/>
    <w:rsid w:val="00265B1C"/>
    <w:rsid w:val="00265B58"/>
    <w:rsid w:val="00266072"/>
    <w:rsid w:val="0026611D"/>
    <w:rsid w:val="00266371"/>
    <w:rsid w:val="00266805"/>
    <w:rsid w:val="00267446"/>
    <w:rsid w:val="002675AD"/>
    <w:rsid w:val="00267657"/>
    <w:rsid w:val="00267844"/>
    <w:rsid w:val="00267D79"/>
    <w:rsid w:val="00270AA7"/>
    <w:rsid w:val="00270C1A"/>
    <w:rsid w:val="00271218"/>
    <w:rsid w:val="00271485"/>
    <w:rsid w:val="0027192E"/>
    <w:rsid w:val="00271C25"/>
    <w:rsid w:val="00271FCB"/>
    <w:rsid w:val="00272242"/>
    <w:rsid w:val="00272BE0"/>
    <w:rsid w:val="00272D82"/>
    <w:rsid w:val="00273268"/>
    <w:rsid w:val="002732C2"/>
    <w:rsid w:val="002733FB"/>
    <w:rsid w:val="002739FA"/>
    <w:rsid w:val="00274552"/>
    <w:rsid w:val="0027461A"/>
    <w:rsid w:val="00274A5F"/>
    <w:rsid w:val="00274E38"/>
    <w:rsid w:val="00274E49"/>
    <w:rsid w:val="00275C47"/>
    <w:rsid w:val="00275D10"/>
    <w:rsid w:val="00275FA6"/>
    <w:rsid w:val="00276192"/>
    <w:rsid w:val="00276BAF"/>
    <w:rsid w:val="00276D18"/>
    <w:rsid w:val="00276F8C"/>
    <w:rsid w:val="00277163"/>
    <w:rsid w:val="00277775"/>
    <w:rsid w:val="002800E1"/>
    <w:rsid w:val="00280783"/>
    <w:rsid w:val="00280E25"/>
    <w:rsid w:val="00280F58"/>
    <w:rsid w:val="00281496"/>
    <w:rsid w:val="00281567"/>
    <w:rsid w:val="00281C17"/>
    <w:rsid w:val="002820DF"/>
    <w:rsid w:val="00282310"/>
    <w:rsid w:val="00282808"/>
    <w:rsid w:val="0028386F"/>
    <w:rsid w:val="00283A3D"/>
    <w:rsid w:val="00284838"/>
    <w:rsid w:val="00284DFE"/>
    <w:rsid w:val="0028537D"/>
    <w:rsid w:val="00285949"/>
    <w:rsid w:val="0028598A"/>
    <w:rsid w:val="00285ACA"/>
    <w:rsid w:val="00285D73"/>
    <w:rsid w:val="00285F19"/>
    <w:rsid w:val="00285F52"/>
    <w:rsid w:val="002863BF"/>
    <w:rsid w:val="00286BF0"/>
    <w:rsid w:val="00287178"/>
    <w:rsid w:val="0029006F"/>
    <w:rsid w:val="002904D0"/>
    <w:rsid w:val="002907D6"/>
    <w:rsid w:val="00290A8E"/>
    <w:rsid w:val="00290CCA"/>
    <w:rsid w:val="00290DB1"/>
    <w:rsid w:val="00290DBC"/>
    <w:rsid w:val="0029140F"/>
    <w:rsid w:val="00291535"/>
    <w:rsid w:val="002918D6"/>
    <w:rsid w:val="00291D1C"/>
    <w:rsid w:val="00292605"/>
    <w:rsid w:val="00292624"/>
    <w:rsid w:val="00292B63"/>
    <w:rsid w:val="00292CEF"/>
    <w:rsid w:val="00293112"/>
    <w:rsid w:val="00293356"/>
    <w:rsid w:val="0029352B"/>
    <w:rsid w:val="00293847"/>
    <w:rsid w:val="00293D4D"/>
    <w:rsid w:val="0029414E"/>
    <w:rsid w:val="00294219"/>
    <w:rsid w:val="0029443F"/>
    <w:rsid w:val="00294584"/>
    <w:rsid w:val="00294C0E"/>
    <w:rsid w:val="002952CA"/>
    <w:rsid w:val="00295802"/>
    <w:rsid w:val="00295818"/>
    <w:rsid w:val="00295EF1"/>
    <w:rsid w:val="00296600"/>
    <w:rsid w:val="002968AC"/>
    <w:rsid w:val="002971C9"/>
    <w:rsid w:val="002A01DC"/>
    <w:rsid w:val="002A0BF6"/>
    <w:rsid w:val="002A1193"/>
    <w:rsid w:val="002A14E0"/>
    <w:rsid w:val="002A16E1"/>
    <w:rsid w:val="002A2765"/>
    <w:rsid w:val="002A29A0"/>
    <w:rsid w:val="002A3151"/>
    <w:rsid w:val="002A5BF4"/>
    <w:rsid w:val="002A687C"/>
    <w:rsid w:val="002A690C"/>
    <w:rsid w:val="002A6B20"/>
    <w:rsid w:val="002A7440"/>
    <w:rsid w:val="002B04A7"/>
    <w:rsid w:val="002B12FF"/>
    <w:rsid w:val="002B1928"/>
    <w:rsid w:val="002B196D"/>
    <w:rsid w:val="002B1CD7"/>
    <w:rsid w:val="002B2262"/>
    <w:rsid w:val="002B4FD0"/>
    <w:rsid w:val="002B51CA"/>
    <w:rsid w:val="002B5251"/>
    <w:rsid w:val="002B55A2"/>
    <w:rsid w:val="002B5BD2"/>
    <w:rsid w:val="002B5E26"/>
    <w:rsid w:val="002B636A"/>
    <w:rsid w:val="002B735F"/>
    <w:rsid w:val="002B746B"/>
    <w:rsid w:val="002B766E"/>
    <w:rsid w:val="002B78F2"/>
    <w:rsid w:val="002C03FD"/>
    <w:rsid w:val="002C13B3"/>
    <w:rsid w:val="002C1483"/>
    <w:rsid w:val="002C15AD"/>
    <w:rsid w:val="002C1DB9"/>
    <w:rsid w:val="002C1FC6"/>
    <w:rsid w:val="002C2436"/>
    <w:rsid w:val="002C248D"/>
    <w:rsid w:val="002C280A"/>
    <w:rsid w:val="002C3178"/>
    <w:rsid w:val="002C40B2"/>
    <w:rsid w:val="002C4EB9"/>
    <w:rsid w:val="002C4F89"/>
    <w:rsid w:val="002C5137"/>
    <w:rsid w:val="002C535D"/>
    <w:rsid w:val="002C5377"/>
    <w:rsid w:val="002C64F7"/>
    <w:rsid w:val="002C6C32"/>
    <w:rsid w:val="002C6C4D"/>
    <w:rsid w:val="002C6F4C"/>
    <w:rsid w:val="002C744A"/>
    <w:rsid w:val="002C76F0"/>
    <w:rsid w:val="002D0100"/>
    <w:rsid w:val="002D01F5"/>
    <w:rsid w:val="002D0827"/>
    <w:rsid w:val="002D1147"/>
    <w:rsid w:val="002D2049"/>
    <w:rsid w:val="002D2496"/>
    <w:rsid w:val="002D25AF"/>
    <w:rsid w:val="002D2D58"/>
    <w:rsid w:val="002D2EEC"/>
    <w:rsid w:val="002D3245"/>
    <w:rsid w:val="002D3A53"/>
    <w:rsid w:val="002D528C"/>
    <w:rsid w:val="002D52E9"/>
    <w:rsid w:val="002D5C1B"/>
    <w:rsid w:val="002D5E75"/>
    <w:rsid w:val="002D62AB"/>
    <w:rsid w:val="002D6F5A"/>
    <w:rsid w:val="002D76D6"/>
    <w:rsid w:val="002D7EF2"/>
    <w:rsid w:val="002E0020"/>
    <w:rsid w:val="002E0E0F"/>
    <w:rsid w:val="002E0ECA"/>
    <w:rsid w:val="002E157A"/>
    <w:rsid w:val="002E2810"/>
    <w:rsid w:val="002E28C4"/>
    <w:rsid w:val="002E3ACD"/>
    <w:rsid w:val="002E3B5E"/>
    <w:rsid w:val="002E3E33"/>
    <w:rsid w:val="002E4587"/>
    <w:rsid w:val="002E4BD3"/>
    <w:rsid w:val="002E4C6C"/>
    <w:rsid w:val="002E539F"/>
    <w:rsid w:val="002E54E6"/>
    <w:rsid w:val="002E5B9A"/>
    <w:rsid w:val="002E6C9A"/>
    <w:rsid w:val="002E6D3F"/>
    <w:rsid w:val="002E6E66"/>
    <w:rsid w:val="002E6F21"/>
    <w:rsid w:val="002E763D"/>
    <w:rsid w:val="002E7AE3"/>
    <w:rsid w:val="002E7E9A"/>
    <w:rsid w:val="002F0752"/>
    <w:rsid w:val="002F09EC"/>
    <w:rsid w:val="002F16CB"/>
    <w:rsid w:val="002F1AA4"/>
    <w:rsid w:val="002F1DFB"/>
    <w:rsid w:val="002F210F"/>
    <w:rsid w:val="002F2469"/>
    <w:rsid w:val="002F2C3B"/>
    <w:rsid w:val="002F31AC"/>
    <w:rsid w:val="002F34B8"/>
    <w:rsid w:val="002F3980"/>
    <w:rsid w:val="002F39BD"/>
    <w:rsid w:val="002F426A"/>
    <w:rsid w:val="002F4EFF"/>
    <w:rsid w:val="002F5BDA"/>
    <w:rsid w:val="002F5C73"/>
    <w:rsid w:val="002F7692"/>
    <w:rsid w:val="002F7C53"/>
    <w:rsid w:val="00300613"/>
    <w:rsid w:val="003011D6"/>
    <w:rsid w:val="00301A33"/>
    <w:rsid w:val="00301B4E"/>
    <w:rsid w:val="00301B9A"/>
    <w:rsid w:val="003020DD"/>
    <w:rsid w:val="00302293"/>
    <w:rsid w:val="003024E8"/>
    <w:rsid w:val="003025C4"/>
    <w:rsid w:val="0030299F"/>
    <w:rsid w:val="00302ED4"/>
    <w:rsid w:val="00303FB0"/>
    <w:rsid w:val="00304BA3"/>
    <w:rsid w:val="00304BD0"/>
    <w:rsid w:val="00304C2F"/>
    <w:rsid w:val="003061E9"/>
    <w:rsid w:val="003068B6"/>
    <w:rsid w:val="00306982"/>
    <w:rsid w:val="00306BBB"/>
    <w:rsid w:val="00307155"/>
    <w:rsid w:val="0030723A"/>
    <w:rsid w:val="00310893"/>
    <w:rsid w:val="00310B2A"/>
    <w:rsid w:val="00310CF8"/>
    <w:rsid w:val="00311821"/>
    <w:rsid w:val="003119B5"/>
    <w:rsid w:val="003120F2"/>
    <w:rsid w:val="003128E6"/>
    <w:rsid w:val="00313052"/>
    <w:rsid w:val="00313292"/>
    <w:rsid w:val="00313464"/>
    <w:rsid w:val="0031373E"/>
    <w:rsid w:val="003137AE"/>
    <w:rsid w:val="00313959"/>
    <w:rsid w:val="00314F5F"/>
    <w:rsid w:val="003158B7"/>
    <w:rsid w:val="003158ED"/>
    <w:rsid w:val="0031637B"/>
    <w:rsid w:val="00316437"/>
    <w:rsid w:val="003168BE"/>
    <w:rsid w:val="00316FF1"/>
    <w:rsid w:val="00317F06"/>
    <w:rsid w:val="00317FB1"/>
    <w:rsid w:val="003202F9"/>
    <w:rsid w:val="00320649"/>
    <w:rsid w:val="00320D8B"/>
    <w:rsid w:val="00321350"/>
    <w:rsid w:val="00321600"/>
    <w:rsid w:val="003216D6"/>
    <w:rsid w:val="003217C4"/>
    <w:rsid w:val="003219C2"/>
    <w:rsid w:val="00321F8D"/>
    <w:rsid w:val="00322269"/>
    <w:rsid w:val="003223A8"/>
    <w:rsid w:val="003228E1"/>
    <w:rsid w:val="00322DF5"/>
    <w:rsid w:val="00323734"/>
    <w:rsid w:val="0032408D"/>
    <w:rsid w:val="003242FA"/>
    <w:rsid w:val="00324915"/>
    <w:rsid w:val="00324DC3"/>
    <w:rsid w:val="003251DA"/>
    <w:rsid w:val="0032666C"/>
    <w:rsid w:val="00326C24"/>
    <w:rsid w:val="003278DB"/>
    <w:rsid w:val="003279EB"/>
    <w:rsid w:val="003301FF"/>
    <w:rsid w:val="00330385"/>
    <w:rsid w:val="0033194B"/>
    <w:rsid w:val="003319D9"/>
    <w:rsid w:val="003324BD"/>
    <w:rsid w:val="003326A0"/>
    <w:rsid w:val="00332B78"/>
    <w:rsid w:val="00332CC7"/>
    <w:rsid w:val="00332D66"/>
    <w:rsid w:val="003335A5"/>
    <w:rsid w:val="00333A3D"/>
    <w:rsid w:val="00335358"/>
    <w:rsid w:val="00335A09"/>
    <w:rsid w:val="00335FA0"/>
    <w:rsid w:val="00336359"/>
    <w:rsid w:val="00336629"/>
    <w:rsid w:val="00336B33"/>
    <w:rsid w:val="00336CEA"/>
    <w:rsid w:val="00336FC9"/>
    <w:rsid w:val="003370BC"/>
    <w:rsid w:val="00337142"/>
    <w:rsid w:val="003379DC"/>
    <w:rsid w:val="00337CE2"/>
    <w:rsid w:val="0034045A"/>
    <w:rsid w:val="00340CB4"/>
    <w:rsid w:val="00341147"/>
    <w:rsid w:val="003415E1"/>
    <w:rsid w:val="00341817"/>
    <w:rsid w:val="00341937"/>
    <w:rsid w:val="00341F18"/>
    <w:rsid w:val="003420A0"/>
    <w:rsid w:val="00342AE4"/>
    <w:rsid w:val="0034346B"/>
    <w:rsid w:val="00343513"/>
    <w:rsid w:val="003435A3"/>
    <w:rsid w:val="0034572D"/>
    <w:rsid w:val="00345D38"/>
    <w:rsid w:val="00345F0E"/>
    <w:rsid w:val="00346026"/>
    <w:rsid w:val="003461F8"/>
    <w:rsid w:val="00347C9E"/>
    <w:rsid w:val="003500A0"/>
    <w:rsid w:val="00350781"/>
    <w:rsid w:val="00350D20"/>
    <w:rsid w:val="00351426"/>
    <w:rsid w:val="00352162"/>
    <w:rsid w:val="00352889"/>
    <w:rsid w:val="00353605"/>
    <w:rsid w:val="00353A57"/>
    <w:rsid w:val="00353DFF"/>
    <w:rsid w:val="00355001"/>
    <w:rsid w:val="00355456"/>
    <w:rsid w:val="00355591"/>
    <w:rsid w:val="003558AB"/>
    <w:rsid w:val="00356293"/>
    <w:rsid w:val="00356E41"/>
    <w:rsid w:val="0035712B"/>
    <w:rsid w:val="00360179"/>
    <w:rsid w:val="00360435"/>
    <w:rsid w:val="00360F33"/>
    <w:rsid w:val="00361E3A"/>
    <w:rsid w:val="003623BB"/>
    <w:rsid w:val="00363402"/>
    <w:rsid w:val="003636AF"/>
    <w:rsid w:val="003645BD"/>
    <w:rsid w:val="0036524E"/>
    <w:rsid w:val="0036546F"/>
    <w:rsid w:val="003660B6"/>
    <w:rsid w:val="00366631"/>
    <w:rsid w:val="00366D1E"/>
    <w:rsid w:val="00366E06"/>
    <w:rsid w:val="0036798A"/>
    <w:rsid w:val="003723C4"/>
    <w:rsid w:val="003724A4"/>
    <w:rsid w:val="0037347E"/>
    <w:rsid w:val="00373D4A"/>
    <w:rsid w:val="0037422A"/>
    <w:rsid w:val="00374399"/>
    <w:rsid w:val="00374773"/>
    <w:rsid w:val="00374B5E"/>
    <w:rsid w:val="00374CAE"/>
    <w:rsid w:val="003750B7"/>
    <w:rsid w:val="00375227"/>
    <w:rsid w:val="00375781"/>
    <w:rsid w:val="00375D04"/>
    <w:rsid w:val="00375ED1"/>
    <w:rsid w:val="00376DB8"/>
    <w:rsid w:val="003800B5"/>
    <w:rsid w:val="00380406"/>
    <w:rsid w:val="0038045B"/>
    <w:rsid w:val="00380681"/>
    <w:rsid w:val="00380A96"/>
    <w:rsid w:val="00380CBA"/>
    <w:rsid w:val="00380F32"/>
    <w:rsid w:val="00381449"/>
    <w:rsid w:val="003818CF"/>
    <w:rsid w:val="00381CFE"/>
    <w:rsid w:val="0038267C"/>
    <w:rsid w:val="00382D5F"/>
    <w:rsid w:val="00383879"/>
    <w:rsid w:val="00383FF9"/>
    <w:rsid w:val="00384F53"/>
    <w:rsid w:val="00385EC7"/>
    <w:rsid w:val="003863AE"/>
    <w:rsid w:val="00386574"/>
    <w:rsid w:val="0038660A"/>
    <w:rsid w:val="00387A17"/>
    <w:rsid w:val="00387C41"/>
    <w:rsid w:val="00390B16"/>
    <w:rsid w:val="00391268"/>
    <w:rsid w:val="00391ACD"/>
    <w:rsid w:val="00391D24"/>
    <w:rsid w:val="003928FE"/>
    <w:rsid w:val="00392A71"/>
    <w:rsid w:val="00392CF6"/>
    <w:rsid w:val="00392E7A"/>
    <w:rsid w:val="003933E1"/>
    <w:rsid w:val="00393EA5"/>
    <w:rsid w:val="00394097"/>
    <w:rsid w:val="00394A1D"/>
    <w:rsid w:val="00394BD3"/>
    <w:rsid w:val="00394E6F"/>
    <w:rsid w:val="00394EA0"/>
    <w:rsid w:val="003950F9"/>
    <w:rsid w:val="003953D4"/>
    <w:rsid w:val="0039565E"/>
    <w:rsid w:val="00396777"/>
    <w:rsid w:val="00396C97"/>
    <w:rsid w:val="00396E5D"/>
    <w:rsid w:val="003A174B"/>
    <w:rsid w:val="003A198E"/>
    <w:rsid w:val="003A1C2C"/>
    <w:rsid w:val="003A1D69"/>
    <w:rsid w:val="003A22DC"/>
    <w:rsid w:val="003A25E5"/>
    <w:rsid w:val="003A2EAC"/>
    <w:rsid w:val="003A307C"/>
    <w:rsid w:val="003A3D9D"/>
    <w:rsid w:val="003A3FD6"/>
    <w:rsid w:val="003A439B"/>
    <w:rsid w:val="003A45F7"/>
    <w:rsid w:val="003A500F"/>
    <w:rsid w:val="003A56FD"/>
    <w:rsid w:val="003A587D"/>
    <w:rsid w:val="003A5C93"/>
    <w:rsid w:val="003A5CB0"/>
    <w:rsid w:val="003A6027"/>
    <w:rsid w:val="003A6143"/>
    <w:rsid w:val="003A7C48"/>
    <w:rsid w:val="003B02FC"/>
    <w:rsid w:val="003B0A47"/>
    <w:rsid w:val="003B0B47"/>
    <w:rsid w:val="003B1021"/>
    <w:rsid w:val="003B1391"/>
    <w:rsid w:val="003B1A80"/>
    <w:rsid w:val="003B1B0F"/>
    <w:rsid w:val="003B1B8E"/>
    <w:rsid w:val="003B1D01"/>
    <w:rsid w:val="003B32C9"/>
    <w:rsid w:val="003B3DAC"/>
    <w:rsid w:val="003B4DAF"/>
    <w:rsid w:val="003B4EC9"/>
    <w:rsid w:val="003B4FC4"/>
    <w:rsid w:val="003B5E3E"/>
    <w:rsid w:val="003B5EDE"/>
    <w:rsid w:val="003B6AA8"/>
    <w:rsid w:val="003B6B8D"/>
    <w:rsid w:val="003B7090"/>
    <w:rsid w:val="003B7667"/>
    <w:rsid w:val="003B78F7"/>
    <w:rsid w:val="003B7B80"/>
    <w:rsid w:val="003B7ED3"/>
    <w:rsid w:val="003B7F16"/>
    <w:rsid w:val="003C00DF"/>
    <w:rsid w:val="003C0A9D"/>
    <w:rsid w:val="003C0BE0"/>
    <w:rsid w:val="003C0FCE"/>
    <w:rsid w:val="003C1636"/>
    <w:rsid w:val="003C1CD0"/>
    <w:rsid w:val="003C1DC2"/>
    <w:rsid w:val="003C1FD8"/>
    <w:rsid w:val="003C27A7"/>
    <w:rsid w:val="003C34D7"/>
    <w:rsid w:val="003C34E2"/>
    <w:rsid w:val="003C34F2"/>
    <w:rsid w:val="003C359F"/>
    <w:rsid w:val="003C362A"/>
    <w:rsid w:val="003C4D9C"/>
    <w:rsid w:val="003C501C"/>
    <w:rsid w:val="003C6001"/>
    <w:rsid w:val="003C617F"/>
    <w:rsid w:val="003C6504"/>
    <w:rsid w:val="003C6F2A"/>
    <w:rsid w:val="003D008D"/>
    <w:rsid w:val="003D0EBD"/>
    <w:rsid w:val="003D131F"/>
    <w:rsid w:val="003D157F"/>
    <w:rsid w:val="003D18D6"/>
    <w:rsid w:val="003D24A5"/>
    <w:rsid w:val="003D2854"/>
    <w:rsid w:val="003D3A6B"/>
    <w:rsid w:val="003D4D59"/>
    <w:rsid w:val="003D4F4C"/>
    <w:rsid w:val="003D5383"/>
    <w:rsid w:val="003D5855"/>
    <w:rsid w:val="003D592F"/>
    <w:rsid w:val="003D5944"/>
    <w:rsid w:val="003D5BE7"/>
    <w:rsid w:val="003D5EEC"/>
    <w:rsid w:val="003D64C4"/>
    <w:rsid w:val="003D64F9"/>
    <w:rsid w:val="003D6738"/>
    <w:rsid w:val="003D7193"/>
    <w:rsid w:val="003D764A"/>
    <w:rsid w:val="003E0033"/>
    <w:rsid w:val="003E0D80"/>
    <w:rsid w:val="003E112C"/>
    <w:rsid w:val="003E1325"/>
    <w:rsid w:val="003E1F3F"/>
    <w:rsid w:val="003E26B9"/>
    <w:rsid w:val="003E3806"/>
    <w:rsid w:val="003E3BA6"/>
    <w:rsid w:val="003E4130"/>
    <w:rsid w:val="003E4D50"/>
    <w:rsid w:val="003E5056"/>
    <w:rsid w:val="003E541E"/>
    <w:rsid w:val="003E5F11"/>
    <w:rsid w:val="003E681F"/>
    <w:rsid w:val="003E74E5"/>
    <w:rsid w:val="003E7673"/>
    <w:rsid w:val="003F0286"/>
    <w:rsid w:val="003F11DA"/>
    <w:rsid w:val="003F1AF3"/>
    <w:rsid w:val="003F1C18"/>
    <w:rsid w:val="003F2217"/>
    <w:rsid w:val="003F2DCD"/>
    <w:rsid w:val="003F2F63"/>
    <w:rsid w:val="003F340B"/>
    <w:rsid w:val="003F3786"/>
    <w:rsid w:val="003F38FA"/>
    <w:rsid w:val="003F3C92"/>
    <w:rsid w:val="003F3F32"/>
    <w:rsid w:val="003F42A0"/>
    <w:rsid w:val="003F4ADA"/>
    <w:rsid w:val="003F4D3E"/>
    <w:rsid w:val="003F4F40"/>
    <w:rsid w:val="003F53CD"/>
    <w:rsid w:val="003F55E6"/>
    <w:rsid w:val="003F5931"/>
    <w:rsid w:val="003F5AB1"/>
    <w:rsid w:val="003F6047"/>
    <w:rsid w:val="003F66F7"/>
    <w:rsid w:val="003F6C49"/>
    <w:rsid w:val="003F6FED"/>
    <w:rsid w:val="00400806"/>
    <w:rsid w:val="00400BC9"/>
    <w:rsid w:val="00400D6D"/>
    <w:rsid w:val="00400F94"/>
    <w:rsid w:val="004012A8"/>
    <w:rsid w:val="0040214B"/>
    <w:rsid w:val="004027CD"/>
    <w:rsid w:val="00402AD4"/>
    <w:rsid w:val="00402E78"/>
    <w:rsid w:val="00403F2B"/>
    <w:rsid w:val="00404297"/>
    <w:rsid w:val="004045F4"/>
    <w:rsid w:val="00404C05"/>
    <w:rsid w:val="00405AC7"/>
    <w:rsid w:val="00405BA9"/>
    <w:rsid w:val="00405C28"/>
    <w:rsid w:val="004070E5"/>
    <w:rsid w:val="004076B5"/>
    <w:rsid w:val="00407CA5"/>
    <w:rsid w:val="004111C9"/>
    <w:rsid w:val="00411474"/>
    <w:rsid w:val="004114A2"/>
    <w:rsid w:val="00411CDB"/>
    <w:rsid w:val="00413986"/>
    <w:rsid w:val="00413D58"/>
    <w:rsid w:val="00414F7C"/>
    <w:rsid w:val="0041505C"/>
    <w:rsid w:val="004154F0"/>
    <w:rsid w:val="0041556E"/>
    <w:rsid w:val="004159F8"/>
    <w:rsid w:val="00416605"/>
    <w:rsid w:val="00416712"/>
    <w:rsid w:val="00417E78"/>
    <w:rsid w:val="0042019E"/>
    <w:rsid w:val="004203EF"/>
    <w:rsid w:val="00420A00"/>
    <w:rsid w:val="00421406"/>
    <w:rsid w:val="00421463"/>
    <w:rsid w:val="0042164A"/>
    <w:rsid w:val="0042171F"/>
    <w:rsid w:val="00421E1A"/>
    <w:rsid w:val="004228BE"/>
    <w:rsid w:val="00422FE6"/>
    <w:rsid w:val="00423052"/>
    <w:rsid w:val="00423281"/>
    <w:rsid w:val="004242DF"/>
    <w:rsid w:val="00424BFC"/>
    <w:rsid w:val="00425E79"/>
    <w:rsid w:val="004260C4"/>
    <w:rsid w:val="00426844"/>
    <w:rsid w:val="00426BAC"/>
    <w:rsid w:val="00426FEE"/>
    <w:rsid w:val="00427F8C"/>
    <w:rsid w:val="004303A2"/>
    <w:rsid w:val="0043073A"/>
    <w:rsid w:val="004315E4"/>
    <w:rsid w:val="00431A2C"/>
    <w:rsid w:val="00431F3D"/>
    <w:rsid w:val="00432088"/>
    <w:rsid w:val="004329D5"/>
    <w:rsid w:val="00432A22"/>
    <w:rsid w:val="00432AAF"/>
    <w:rsid w:val="00432B97"/>
    <w:rsid w:val="00432D25"/>
    <w:rsid w:val="0043358D"/>
    <w:rsid w:val="00433FC7"/>
    <w:rsid w:val="004345FC"/>
    <w:rsid w:val="00434CB6"/>
    <w:rsid w:val="00435B96"/>
    <w:rsid w:val="00435C7C"/>
    <w:rsid w:val="0043606F"/>
    <w:rsid w:val="00436286"/>
    <w:rsid w:val="004377CD"/>
    <w:rsid w:val="004402EC"/>
    <w:rsid w:val="0044061D"/>
    <w:rsid w:val="0044077E"/>
    <w:rsid w:val="00440AFB"/>
    <w:rsid w:val="00441327"/>
    <w:rsid w:val="0044175C"/>
    <w:rsid w:val="00441838"/>
    <w:rsid w:val="004418DD"/>
    <w:rsid w:val="004419EB"/>
    <w:rsid w:val="00441DE2"/>
    <w:rsid w:val="00441E42"/>
    <w:rsid w:val="00441FF1"/>
    <w:rsid w:val="0044271A"/>
    <w:rsid w:val="00442789"/>
    <w:rsid w:val="00442ABF"/>
    <w:rsid w:val="00442CB7"/>
    <w:rsid w:val="00443092"/>
    <w:rsid w:val="004439D1"/>
    <w:rsid w:val="00443BA2"/>
    <w:rsid w:val="00444F22"/>
    <w:rsid w:val="00446D3C"/>
    <w:rsid w:val="00446DF3"/>
    <w:rsid w:val="00447271"/>
    <w:rsid w:val="00447925"/>
    <w:rsid w:val="00451888"/>
    <w:rsid w:val="00451E84"/>
    <w:rsid w:val="00452473"/>
    <w:rsid w:val="004525C2"/>
    <w:rsid w:val="004536A5"/>
    <w:rsid w:val="00453E0A"/>
    <w:rsid w:val="00453EB4"/>
    <w:rsid w:val="0045453F"/>
    <w:rsid w:val="00454AFD"/>
    <w:rsid w:val="004551AA"/>
    <w:rsid w:val="0045541B"/>
    <w:rsid w:val="0045551A"/>
    <w:rsid w:val="00455C49"/>
    <w:rsid w:val="00456469"/>
    <w:rsid w:val="004569C7"/>
    <w:rsid w:val="00456A47"/>
    <w:rsid w:val="0045755D"/>
    <w:rsid w:val="00457B3D"/>
    <w:rsid w:val="0046030E"/>
    <w:rsid w:val="00461309"/>
    <w:rsid w:val="00461332"/>
    <w:rsid w:val="00461A43"/>
    <w:rsid w:val="00461A8F"/>
    <w:rsid w:val="00461C93"/>
    <w:rsid w:val="004633D4"/>
    <w:rsid w:val="00463485"/>
    <w:rsid w:val="00463586"/>
    <w:rsid w:val="004636E9"/>
    <w:rsid w:val="00463AF4"/>
    <w:rsid w:val="00463CD3"/>
    <w:rsid w:val="00464A42"/>
    <w:rsid w:val="00464AE5"/>
    <w:rsid w:val="00464BD0"/>
    <w:rsid w:val="00465377"/>
    <w:rsid w:val="00465409"/>
    <w:rsid w:val="00465BD4"/>
    <w:rsid w:val="0046684F"/>
    <w:rsid w:val="00466FD9"/>
    <w:rsid w:val="004701F2"/>
    <w:rsid w:val="0047133F"/>
    <w:rsid w:val="004714C8"/>
    <w:rsid w:val="00471F3E"/>
    <w:rsid w:val="00472019"/>
    <w:rsid w:val="0047223F"/>
    <w:rsid w:val="0047256C"/>
    <w:rsid w:val="004729AB"/>
    <w:rsid w:val="004744E7"/>
    <w:rsid w:val="00474DA0"/>
    <w:rsid w:val="004754A6"/>
    <w:rsid w:val="0047569B"/>
    <w:rsid w:val="00476596"/>
    <w:rsid w:val="00476BE0"/>
    <w:rsid w:val="00476DD3"/>
    <w:rsid w:val="004777EF"/>
    <w:rsid w:val="00477B10"/>
    <w:rsid w:val="00480795"/>
    <w:rsid w:val="004808A0"/>
    <w:rsid w:val="00480CFD"/>
    <w:rsid w:val="004811A2"/>
    <w:rsid w:val="00481460"/>
    <w:rsid w:val="00481A13"/>
    <w:rsid w:val="00481B62"/>
    <w:rsid w:val="00481DFE"/>
    <w:rsid w:val="00481F15"/>
    <w:rsid w:val="00482831"/>
    <w:rsid w:val="00482A23"/>
    <w:rsid w:val="00482D1F"/>
    <w:rsid w:val="00483964"/>
    <w:rsid w:val="00483C45"/>
    <w:rsid w:val="00484984"/>
    <w:rsid w:val="00484FB4"/>
    <w:rsid w:val="00485126"/>
    <w:rsid w:val="00485BC5"/>
    <w:rsid w:val="004868C7"/>
    <w:rsid w:val="004869DC"/>
    <w:rsid w:val="00486E1A"/>
    <w:rsid w:val="00487081"/>
    <w:rsid w:val="004871BC"/>
    <w:rsid w:val="00487B5E"/>
    <w:rsid w:val="00487BFE"/>
    <w:rsid w:val="00487D55"/>
    <w:rsid w:val="0049048F"/>
    <w:rsid w:val="00490F42"/>
    <w:rsid w:val="0049132E"/>
    <w:rsid w:val="004923F9"/>
    <w:rsid w:val="004924E4"/>
    <w:rsid w:val="00492842"/>
    <w:rsid w:val="0049287E"/>
    <w:rsid w:val="00492F3A"/>
    <w:rsid w:val="00492F8D"/>
    <w:rsid w:val="00493623"/>
    <w:rsid w:val="00493FC5"/>
    <w:rsid w:val="004948B7"/>
    <w:rsid w:val="004954AF"/>
    <w:rsid w:val="00495658"/>
    <w:rsid w:val="00495B16"/>
    <w:rsid w:val="00496B20"/>
    <w:rsid w:val="00497334"/>
    <w:rsid w:val="00497421"/>
    <w:rsid w:val="00497DDB"/>
    <w:rsid w:val="00497F12"/>
    <w:rsid w:val="004A0131"/>
    <w:rsid w:val="004A1018"/>
    <w:rsid w:val="004A1251"/>
    <w:rsid w:val="004A187C"/>
    <w:rsid w:val="004A1B7C"/>
    <w:rsid w:val="004A36D0"/>
    <w:rsid w:val="004A3AD6"/>
    <w:rsid w:val="004A3D79"/>
    <w:rsid w:val="004A468E"/>
    <w:rsid w:val="004A507A"/>
    <w:rsid w:val="004A566D"/>
    <w:rsid w:val="004A5769"/>
    <w:rsid w:val="004A5BDB"/>
    <w:rsid w:val="004A60B5"/>
    <w:rsid w:val="004A6406"/>
    <w:rsid w:val="004A65F0"/>
    <w:rsid w:val="004A6931"/>
    <w:rsid w:val="004A6D92"/>
    <w:rsid w:val="004A7426"/>
    <w:rsid w:val="004A76CB"/>
    <w:rsid w:val="004A7F93"/>
    <w:rsid w:val="004B06FA"/>
    <w:rsid w:val="004B0C19"/>
    <w:rsid w:val="004B0FDE"/>
    <w:rsid w:val="004B1710"/>
    <w:rsid w:val="004B32B4"/>
    <w:rsid w:val="004B3A4D"/>
    <w:rsid w:val="004B3A66"/>
    <w:rsid w:val="004B4592"/>
    <w:rsid w:val="004B4B95"/>
    <w:rsid w:val="004B5826"/>
    <w:rsid w:val="004B5BC8"/>
    <w:rsid w:val="004B5D96"/>
    <w:rsid w:val="004B60FF"/>
    <w:rsid w:val="004B61C9"/>
    <w:rsid w:val="004B6382"/>
    <w:rsid w:val="004B652A"/>
    <w:rsid w:val="004B6734"/>
    <w:rsid w:val="004B6BF4"/>
    <w:rsid w:val="004B6EE6"/>
    <w:rsid w:val="004B777D"/>
    <w:rsid w:val="004B7AE3"/>
    <w:rsid w:val="004B7C8C"/>
    <w:rsid w:val="004C01B2"/>
    <w:rsid w:val="004C0974"/>
    <w:rsid w:val="004C0FCA"/>
    <w:rsid w:val="004C17F7"/>
    <w:rsid w:val="004C2278"/>
    <w:rsid w:val="004C26D4"/>
    <w:rsid w:val="004C3563"/>
    <w:rsid w:val="004C3FD3"/>
    <w:rsid w:val="004C439E"/>
    <w:rsid w:val="004C5A7F"/>
    <w:rsid w:val="004C6891"/>
    <w:rsid w:val="004C6C31"/>
    <w:rsid w:val="004C6E1F"/>
    <w:rsid w:val="004C6FCF"/>
    <w:rsid w:val="004C710A"/>
    <w:rsid w:val="004C73F7"/>
    <w:rsid w:val="004C780D"/>
    <w:rsid w:val="004C7B8D"/>
    <w:rsid w:val="004C7C49"/>
    <w:rsid w:val="004D0061"/>
    <w:rsid w:val="004D03E3"/>
    <w:rsid w:val="004D0638"/>
    <w:rsid w:val="004D1061"/>
    <w:rsid w:val="004D127F"/>
    <w:rsid w:val="004D16FA"/>
    <w:rsid w:val="004D1FEA"/>
    <w:rsid w:val="004D2944"/>
    <w:rsid w:val="004D3124"/>
    <w:rsid w:val="004D3DDB"/>
    <w:rsid w:val="004D4041"/>
    <w:rsid w:val="004D4818"/>
    <w:rsid w:val="004D4E34"/>
    <w:rsid w:val="004D55BB"/>
    <w:rsid w:val="004D5F26"/>
    <w:rsid w:val="004D5F45"/>
    <w:rsid w:val="004D7B52"/>
    <w:rsid w:val="004D7CF8"/>
    <w:rsid w:val="004D7DBF"/>
    <w:rsid w:val="004E0605"/>
    <w:rsid w:val="004E0ADE"/>
    <w:rsid w:val="004E0C17"/>
    <w:rsid w:val="004E0CB5"/>
    <w:rsid w:val="004E1482"/>
    <w:rsid w:val="004E15C0"/>
    <w:rsid w:val="004E1EAE"/>
    <w:rsid w:val="004E2681"/>
    <w:rsid w:val="004E3C6D"/>
    <w:rsid w:val="004E4462"/>
    <w:rsid w:val="004E52B1"/>
    <w:rsid w:val="004E61F7"/>
    <w:rsid w:val="004E74DE"/>
    <w:rsid w:val="004E7858"/>
    <w:rsid w:val="004F043D"/>
    <w:rsid w:val="004F06F3"/>
    <w:rsid w:val="004F11BB"/>
    <w:rsid w:val="004F192B"/>
    <w:rsid w:val="004F2446"/>
    <w:rsid w:val="004F25FC"/>
    <w:rsid w:val="004F2DD6"/>
    <w:rsid w:val="004F2E05"/>
    <w:rsid w:val="004F32F2"/>
    <w:rsid w:val="004F3465"/>
    <w:rsid w:val="004F37DE"/>
    <w:rsid w:val="004F411D"/>
    <w:rsid w:val="004F48F0"/>
    <w:rsid w:val="004F49BC"/>
    <w:rsid w:val="004F527C"/>
    <w:rsid w:val="004F5525"/>
    <w:rsid w:val="004F581E"/>
    <w:rsid w:val="004F62E4"/>
    <w:rsid w:val="004F7D7C"/>
    <w:rsid w:val="004F7EE8"/>
    <w:rsid w:val="00500489"/>
    <w:rsid w:val="005006B8"/>
    <w:rsid w:val="00500D92"/>
    <w:rsid w:val="005014E0"/>
    <w:rsid w:val="00501907"/>
    <w:rsid w:val="00501F7A"/>
    <w:rsid w:val="00502664"/>
    <w:rsid w:val="00502E6A"/>
    <w:rsid w:val="00503436"/>
    <w:rsid w:val="00504097"/>
    <w:rsid w:val="0050515B"/>
    <w:rsid w:val="0050541F"/>
    <w:rsid w:val="00505C16"/>
    <w:rsid w:val="00506133"/>
    <w:rsid w:val="00507723"/>
    <w:rsid w:val="00507811"/>
    <w:rsid w:val="005078D8"/>
    <w:rsid w:val="00507CD0"/>
    <w:rsid w:val="00507F3A"/>
    <w:rsid w:val="00510005"/>
    <w:rsid w:val="0051060D"/>
    <w:rsid w:val="00510983"/>
    <w:rsid w:val="005109CF"/>
    <w:rsid w:val="00510A8A"/>
    <w:rsid w:val="00510CCB"/>
    <w:rsid w:val="00511054"/>
    <w:rsid w:val="00511056"/>
    <w:rsid w:val="00511232"/>
    <w:rsid w:val="00511450"/>
    <w:rsid w:val="005116E9"/>
    <w:rsid w:val="0051250B"/>
    <w:rsid w:val="00512AAC"/>
    <w:rsid w:val="005131B0"/>
    <w:rsid w:val="00513223"/>
    <w:rsid w:val="005145DD"/>
    <w:rsid w:val="00514976"/>
    <w:rsid w:val="00514DB1"/>
    <w:rsid w:val="00515019"/>
    <w:rsid w:val="00515C0E"/>
    <w:rsid w:val="00515ED5"/>
    <w:rsid w:val="005162E4"/>
    <w:rsid w:val="00516B8D"/>
    <w:rsid w:val="00517248"/>
    <w:rsid w:val="00517877"/>
    <w:rsid w:val="0051798A"/>
    <w:rsid w:val="005205B2"/>
    <w:rsid w:val="00520BED"/>
    <w:rsid w:val="00520D79"/>
    <w:rsid w:val="00520DBE"/>
    <w:rsid w:val="00521626"/>
    <w:rsid w:val="00521731"/>
    <w:rsid w:val="00522995"/>
    <w:rsid w:val="00523436"/>
    <w:rsid w:val="005234C4"/>
    <w:rsid w:val="005235D8"/>
    <w:rsid w:val="00523EB0"/>
    <w:rsid w:val="00523F46"/>
    <w:rsid w:val="0052795D"/>
    <w:rsid w:val="00530D83"/>
    <w:rsid w:val="00531AB1"/>
    <w:rsid w:val="00531C46"/>
    <w:rsid w:val="00531DBE"/>
    <w:rsid w:val="00531EBA"/>
    <w:rsid w:val="0053262B"/>
    <w:rsid w:val="00532B3D"/>
    <w:rsid w:val="005337A0"/>
    <w:rsid w:val="00533F2F"/>
    <w:rsid w:val="00534C1A"/>
    <w:rsid w:val="00534E62"/>
    <w:rsid w:val="0053517B"/>
    <w:rsid w:val="005358F6"/>
    <w:rsid w:val="00535EC2"/>
    <w:rsid w:val="0053601A"/>
    <w:rsid w:val="00536344"/>
    <w:rsid w:val="005370AE"/>
    <w:rsid w:val="0053744A"/>
    <w:rsid w:val="005378F7"/>
    <w:rsid w:val="00540DCF"/>
    <w:rsid w:val="005410EC"/>
    <w:rsid w:val="00541191"/>
    <w:rsid w:val="0054192E"/>
    <w:rsid w:val="00541BB3"/>
    <w:rsid w:val="00541D04"/>
    <w:rsid w:val="00542F0E"/>
    <w:rsid w:val="005432DA"/>
    <w:rsid w:val="0054406B"/>
    <w:rsid w:val="005443A6"/>
    <w:rsid w:val="0054569E"/>
    <w:rsid w:val="00546D18"/>
    <w:rsid w:val="00546DDB"/>
    <w:rsid w:val="00547762"/>
    <w:rsid w:val="00547B88"/>
    <w:rsid w:val="00547B91"/>
    <w:rsid w:val="00547CBF"/>
    <w:rsid w:val="005512D3"/>
    <w:rsid w:val="00552318"/>
    <w:rsid w:val="00552D14"/>
    <w:rsid w:val="0055329A"/>
    <w:rsid w:val="00553598"/>
    <w:rsid w:val="005542CE"/>
    <w:rsid w:val="00554ACB"/>
    <w:rsid w:val="00555BD1"/>
    <w:rsid w:val="005570CA"/>
    <w:rsid w:val="0055710A"/>
    <w:rsid w:val="0055773C"/>
    <w:rsid w:val="00560C98"/>
    <w:rsid w:val="00560DB7"/>
    <w:rsid w:val="005611EC"/>
    <w:rsid w:val="00561A10"/>
    <w:rsid w:val="0056209D"/>
    <w:rsid w:val="00562547"/>
    <w:rsid w:val="005629A3"/>
    <w:rsid w:val="00562AB8"/>
    <w:rsid w:val="00562C8D"/>
    <w:rsid w:val="00563D2F"/>
    <w:rsid w:val="00564254"/>
    <w:rsid w:val="0056529E"/>
    <w:rsid w:val="00565363"/>
    <w:rsid w:val="00565385"/>
    <w:rsid w:val="00566B18"/>
    <w:rsid w:val="00566C40"/>
    <w:rsid w:val="00566F6A"/>
    <w:rsid w:val="005670D7"/>
    <w:rsid w:val="0056738C"/>
    <w:rsid w:val="0057005E"/>
    <w:rsid w:val="005702B7"/>
    <w:rsid w:val="00571765"/>
    <w:rsid w:val="0057194D"/>
    <w:rsid w:val="00571FFC"/>
    <w:rsid w:val="00572B50"/>
    <w:rsid w:val="005733BD"/>
    <w:rsid w:val="00574BA4"/>
    <w:rsid w:val="00574CD3"/>
    <w:rsid w:val="00574DA7"/>
    <w:rsid w:val="00575390"/>
    <w:rsid w:val="00575416"/>
    <w:rsid w:val="00575484"/>
    <w:rsid w:val="0057628A"/>
    <w:rsid w:val="00576343"/>
    <w:rsid w:val="0057697E"/>
    <w:rsid w:val="005770CA"/>
    <w:rsid w:val="00577511"/>
    <w:rsid w:val="00577663"/>
    <w:rsid w:val="0057786A"/>
    <w:rsid w:val="00577976"/>
    <w:rsid w:val="0058008F"/>
    <w:rsid w:val="0058039C"/>
    <w:rsid w:val="00580503"/>
    <w:rsid w:val="0058096F"/>
    <w:rsid w:val="00580C44"/>
    <w:rsid w:val="00581499"/>
    <w:rsid w:val="0058170E"/>
    <w:rsid w:val="00581F33"/>
    <w:rsid w:val="00582552"/>
    <w:rsid w:val="00582934"/>
    <w:rsid w:val="00583331"/>
    <w:rsid w:val="00583A0F"/>
    <w:rsid w:val="00583E24"/>
    <w:rsid w:val="00583F13"/>
    <w:rsid w:val="00584CB0"/>
    <w:rsid w:val="0058608A"/>
    <w:rsid w:val="00586718"/>
    <w:rsid w:val="00586CA1"/>
    <w:rsid w:val="00590495"/>
    <w:rsid w:val="00592306"/>
    <w:rsid w:val="005935F3"/>
    <w:rsid w:val="00593634"/>
    <w:rsid w:val="00593999"/>
    <w:rsid w:val="0059468C"/>
    <w:rsid w:val="00595529"/>
    <w:rsid w:val="005960A6"/>
    <w:rsid w:val="005974A9"/>
    <w:rsid w:val="00597A29"/>
    <w:rsid w:val="00597B25"/>
    <w:rsid w:val="005A0730"/>
    <w:rsid w:val="005A0AD9"/>
    <w:rsid w:val="005A0F6D"/>
    <w:rsid w:val="005A1813"/>
    <w:rsid w:val="005A202B"/>
    <w:rsid w:val="005A2424"/>
    <w:rsid w:val="005A2A29"/>
    <w:rsid w:val="005A2CFF"/>
    <w:rsid w:val="005A2E2F"/>
    <w:rsid w:val="005A3ED0"/>
    <w:rsid w:val="005A42FB"/>
    <w:rsid w:val="005A462C"/>
    <w:rsid w:val="005A4AFF"/>
    <w:rsid w:val="005A4B47"/>
    <w:rsid w:val="005A4BEE"/>
    <w:rsid w:val="005A4C60"/>
    <w:rsid w:val="005A4FFC"/>
    <w:rsid w:val="005A50EF"/>
    <w:rsid w:val="005A5119"/>
    <w:rsid w:val="005A690D"/>
    <w:rsid w:val="005A78FC"/>
    <w:rsid w:val="005B0941"/>
    <w:rsid w:val="005B189A"/>
    <w:rsid w:val="005B1A78"/>
    <w:rsid w:val="005B219D"/>
    <w:rsid w:val="005B240B"/>
    <w:rsid w:val="005B28B7"/>
    <w:rsid w:val="005B2D53"/>
    <w:rsid w:val="005B3246"/>
    <w:rsid w:val="005B3983"/>
    <w:rsid w:val="005B4984"/>
    <w:rsid w:val="005B4989"/>
    <w:rsid w:val="005B5454"/>
    <w:rsid w:val="005B5849"/>
    <w:rsid w:val="005B5B18"/>
    <w:rsid w:val="005B629D"/>
    <w:rsid w:val="005B6599"/>
    <w:rsid w:val="005B66AB"/>
    <w:rsid w:val="005B7222"/>
    <w:rsid w:val="005C05E3"/>
    <w:rsid w:val="005C0F63"/>
    <w:rsid w:val="005C14A0"/>
    <w:rsid w:val="005C1C37"/>
    <w:rsid w:val="005C1CE1"/>
    <w:rsid w:val="005C212A"/>
    <w:rsid w:val="005C265C"/>
    <w:rsid w:val="005C2A99"/>
    <w:rsid w:val="005C2CB8"/>
    <w:rsid w:val="005C3105"/>
    <w:rsid w:val="005C3733"/>
    <w:rsid w:val="005C39F1"/>
    <w:rsid w:val="005C415D"/>
    <w:rsid w:val="005C444B"/>
    <w:rsid w:val="005C4626"/>
    <w:rsid w:val="005C5959"/>
    <w:rsid w:val="005C6229"/>
    <w:rsid w:val="005C68C5"/>
    <w:rsid w:val="005D010B"/>
    <w:rsid w:val="005D0A8D"/>
    <w:rsid w:val="005D1419"/>
    <w:rsid w:val="005D157E"/>
    <w:rsid w:val="005D1E42"/>
    <w:rsid w:val="005D2222"/>
    <w:rsid w:val="005D2B69"/>
    <w:rsid w:val="005D326F"/>
    <w:rsid w:val="005D3A64"/>
    <w:rsid w:val="005D421C"/>
    <w:rsid w:val="005D444B"/>
    <w:rsid w:val="005D4610"/>
    <w:rsid w:val="005D4B35"/>
    <w:rsid w:val="005D5397"/>
    <w:rsid w:val="005D5B4E"/>
    <w:rsid w:val="005D61BD"/>
    <w:rsid w:val="005D6F69"/>
    <w:rsid w:val="005E0201"/>
    <w:rsid w:val="005E0610"/>
    <w:rsid w:val="005E0AEF"/>
    <w:rsid w:val="005E0C71"/>
    <w:rsid w:val="005E0D04"/>
    <w:rsid w:val="005E1A44"/>
    <w:rsid w:val="005E2063"/>
    <w:rsid w:val="005E21EB"/>
    <w:rsid w:val="005E25F7"/>
    <w:rsid w:val="005E2BCA"/>
    <w:rsid w:val="005E2E26"/>
    <w:rsid w:val="005E371F"/>
    <w:rsid w:val="005E3D4E"/>
    <w:rsid w:val="005E3E45"/>
    <w:rsid w:val="005E3F57"/>
    <w:rsid w:val="005E4729"/>
    <w:rsid w:val="005E4786"/>
    <w:rsid w:val="005E4E96"/>
    <w:rsid w:val="005E5C9D"/>
    <w:rsid w:val="005E6494"/>
    <w:rsid w:val="005E6930"/>
    <w:rsid w:val="005E70B5"/>
    <w:rsid w:val="005E79FC"/>
    <w:rsid w:val="005E7D80"/>
    <w:rsid w:val="005F045F"/>
    <w:rsid w:val="005F074B"/>
    <w:rsid w:val="005F097B"/>
    <w:rsid w:val="005F1E45"/>
    <w:rsid w:val="005F22C9"/>
    <w:rsid w:val="005F3718"/>
    <w:rsid w:val="005F3A73"/>
    <w:rsid w:val="005F3B01"/>
    <w:rsid w:val="005F3B5B"/>
    <w:rsid w:val="005F3E39"/>
    <w:rsid w:val="005F3FAE"/>
    <w:rsid w:val="005F4836"/>
    <w:rsid w:val="005F4C12"/>
    <w:rsid w:val="005F4FF8"/>
    <w:rsid w:val="005F5C9C"/>
    <w:rsid w:val="005F6411"/>
    <w:rsid w:val="005F6669"/>
    <w:rsid w:val="005F67F8"/>
    <w:rsid w:val="005F7192"/>
    <w:rsid w:val="005F7677"/>
    <w:rsid w:val="005F7AF2"/>
    <w:rsid w:val="00600910"/>
    <w:rsid w:val="00600AFA"/>
    <w:rsid w:val="00600C39"/>
    <w:rsid w:val="00600C98"/>
    <w:rsid w:val="00600ECC"/>
    <w:rsid w:val="0060176B"/>
    <w:rsid w:val="00602287"/>
    <w:rsid w:val="00602B1E"/>
    <w:rsid w:val="00602C09"/>
    <w:rsid w:val="00603049"/>
    <w:rsid w:val="00603524"/>
    <w:rsid w:val="00603CEB"/>
    <w:rsid w:val="00604D80"/>
    <w:rsid w:val="00605117"/>
    <w:rsid w:val="00605335"/>
    <w:rsid w:val="006063B3"/>
    <w:rsid w:val="00606819"/>
    <w:rsid w:val="00606C00"/>
    <w:rsid w:val="00606DD2"/>
    <w:rsid w:val="00607BEA"/>
    <w:rsid w:val="00607F44"/>
    <w:rsid w:val="00607FFD"/>
    <w:rsid w:val="00611244"/>
    <w:rsid w:val="006112EA"/>
    <w:rsid w:val="00611614"/>
    <w:rsid w:val="00611B5F"/>
    <w:rsid w:val="00611C70"/>
    <w:rsid w:val="00611D8D"/>
    <w:rsid w:val="00611D9C"/>
    <w:rsid w:val="00611F6E"/>
    <w:rsid w:val="006123C8"/>
    <w:rsid w:val="006123CC"/>
    <w:rsid w:val="0061286D"/>
    <w:rsid w:val="00612DF1"/>
    <w:rsid w:val="00613B7E"/>
    <w:rsid w:val="00613DE7"/>
    <w:rsid w:val="00614223"/>
    <w:rsid w:val="00614825"/>
    <w:rsid w:val="00615F81"/>
    <w:rsid w:val="00616483"/>
    <w:rsid w:val="00616A66"/>
    <w:rsid w:val="00620399"/>
    <w:rsid w:val="00620C66"/>
    <w:rsid w:val="00621B14"/>
    <w:rsid w:val="00621D5A"/>
    <w:rsid w:val="006222E8"/>
    <w:rsid w:val="006224D8"/>
    <w:rsid w:val="00622561"/>
    <w:rsid w:val="00624953"/>
    <w:rsid w:val="00624A87"/>
    <w:rsid w:val="006252CC"/>
    <w:rsid w:val="0062542D"/>
    <w:rsid w:val="00625504"/>
    <w:rsid w:val="006258B8"/>
    <w:rsid w:val="00625B5C"/>
    <w:rsid w:val="00625C20"/>
    <w:rsid w:val="006265A6"/>
    <w:rsid w:val="006269D1"/>
    <w:rsid w:val="00626A66"/>
    <w:rsid w:val="00627259"/>
    <w:rsid w:val="006272FF"/>
    <w:rsid w:val="006302A8"/>
    <w:rsid w:val="006302F4"/>
    <w:rsid w:val="00630D9F"/>
    <w:rsid w:val="006310B9"/>
    <w:rsid w:val="00631393"/>
    <w:rsid w:val="00631409"/>
    <w:rsid w:val="00631AC4"/>
    <w:rsid w:val="00631AE9"/>
    <w:rsid w:val="00631B54"/>
    <w:rsid w:val="00632809"/>
    <w:rsid w:val="00632932"/>
    <w:rsid w:val="00632BBE"/>
    <w:rsid w:val="00632F63"/>
    <w:rsid w:val="00633873"/>
    <w:rsid w:val="006338CB"/>
    <w:rsid w:val="00634238"/>
    <w:rsid w:val="006342CF"/>
    <w:rsid w:val="006342D0"/>
    <w:rsid w:val="006343F1"/>
    <w:rsid w:val="00634D69"/>
    <w:rsid w:val="006353ED"/>
    <w:rsid w:val="00635692"/>
    <w:rsid w:val="006360A1"/>
    <w:rsid w:val="00636B49"/>
    <w:rsid w:val="00637026"/>
    <w:rsid w:val="006376B1"/>
    <w:rsid w:val="00637E31"/>
    <w:rsid w:val="0064043D"/>
    <w:rsid w:val="00640FBF"/>
    <w:rsid w:val="006410B9"/>
    <w:rsid w:val="00641107"/>
    <w:rsid w:val="006419F9"/>
    <w:rsid w:val="00641C34"/>
    <w:rsid w:val="00642439"/>
    <w:rsid w:val="006428C3"/>
    <w:rsid w:val="00642DCF"/>
    <w:rsid w:val="006433B4"/>
    <w:rsid w:val="006434B3"/>
    <w:rsid w:val="006436B1"/>
    <w:rsid w:val="006443A2"/>
    <w:rsid w:val="006447B0"/>
    <w:rsid w:val="0064507C"/>
    <w:rsid w:val="006451E6"/>
    <w:rsid w:val="006452E1"/>
    <w:rsid w:val="006454B8"/>
    <w:rsid w:val="006459CE"/>
    <w:rsid w:val="00645D19"/>
    <w:rsid w:val="006464D9"/>
    <w:rsid w:val="006468E9"/>
    <w:rsid w:val="00646C23"/>
    <w:rsid w:val="00646E4B"/>
    <w:rsid w:val="0064750F"/>
    <w:rsid w:val="006476EA"/>
    <w:rsid w:val="00647D70"/>
    <w:rsid w:val="0065106C"/>
    <w:rsid w:val="006512C6"/>
    <w:rsid w:val="006515C9"/>
    <w:rsid w:val="0065160E"/>
    <w:rsid w:val="00651FAF"/>
    <w:rsid w:val="00652689"/>
    <w:rsid w:val="00652A97"/>
    <w:rsid w:val="006532DD"/>
    <w:rsid w:val="006536B1"/>
    <w:rsid w:val="00653AC7"/>
    <w:rsid w:val="0065478A"/>
    <w:rsid w:val="006552EF"/>
    <w:rsid w:val="0065642F"/>
    <w:rsid w:val="006567AE"/>
    <w:rsid w:val="00656CFE"/>
    <w:rsid w:val="00656EDB"/>
    <w:rsid w:val="00656FCA"/>
    <w:rsid w:val="00657E5F"/>
    <w:rsid w:val="00657FB9"/>
    <w:rsid w:val="00660386"/>
    <w:rsid w:val="00661170"/>
    <w:rsid w:val="00662B77"/>
    <w:rsid w:val="00663060"/>
    <w:rsid w:val="006631F9"/>
    <w:rsid w:val="00663B85"/>
    <w:rsid w:val="00664C32"/>
    <w:rsid w:val="00665ADF"/>
    <w:rsid w:val="00666523"/>
    <w:rsid w:val="00666BA3"/>
    <w:rsid w:val="006670BA"/>
    <w:rsid w:val="00667155"/>
    <w:rsid w:val="006674D7"/>
    <w:rsid w:val="006679D0"/>
    <w:rsid w:val="00667ADA"/>
    <w:rsid w:val="00670034"/>
    <w:rsid w:val="00670975"/>
    <w:rsid w:val="00670A89"/>
    <w:rsid w:val="00670EF2"/>
    <w:rsid w:val="00671296"/>
    <w:rsid w:val="006712C0"/>
    <w:rsid w:val="0067178A"/>
    <w:rsid w:val="00671881"/>
    <w:rsid w:val="00671B28"/>
    <w:rsid w:val="00671C5A"/>
    <w:rsid w:val="0067203D"/>
    <w:rsid w:val="00672505"/>
    <w:rsid w:val="006726A2"/>
    <w:rsid w:val="0067277D"/>
    <w:rsid w:val="006727F9"/>
    <w:rsid w:val="006736AA"/>
    <w:rsid w:val="006737CA"/>
    <w:rsid w:val="00674628"/>
    <w:rsid w:val="006749F2"/>
    <w:rsid w:val="006751CF"/>
    <w:rsid w:val="0067601E"/>
    <w:rsid w:val="00676354"/>
    <w:rsid w:val="0067747E"/>
    <w:rsid w:val="0067767A"/>
    <w:rsid w:val="00677910"/>
    <w:rsid w:val="00677B77"/>
    <w:rsid w:val="00677E28"/>
    <w:rsid w:val="00680E1E"/>
    <w:rsid w:val="0068129B"/>
    <w:rsid w:val="006818A2"/>
    <w:rsid w:val="00681D8F"/>
    <w:rsid w:val="00682657"/>
    <w:rsid w:val="00682A6D"/>
    <w:rsid w:val="00682E7E"/>
    <w:rsid w:val="006841F9"/>
    <w:rsid w:val="00684B02"/>
    <w:rsid w:val="006859D8"/>
    <w:rsid w:val="0068600D"/>
    <w:rsid w:val="00686909"/>
    <w:rsid w:val="00686B1A"/>
    <w:rsid w:val="00686BEA"/>
    <w:rsid w:val="00686D2F"/>
    <w:rsid w:val="0068718E"/>
    <w:rsid w:val="00687931"/>
    <w:rsid w:val="00687CAC"/>
    <w:rsid w:val="00690B70"/>
    <w:rsid w:val="00690E79"/>
    <w:rsid w:val="00691A56"/>
    <w:rsid w:val="0069203B"/>
    <w:rsid w:val="00692324"/>
    <w:rsid w:val="006925D8"/>
    <w:rsid w:val="00692719"/>
    <w:rsid w:val="006927C0"/>
    <w:rsid w:val="0069317D"/>
    <w:rsid w:val="0069397A"/>
    <w:rsid w:val="00693992"/>
    <w:rsid w:val="00693EEA"/>
    <w:rsid w:val="00694033"/>
    <w:rsid w:val="00694B5A"/>
    <w:rsid w:val="00695E78"/>
    <w:rsid w:val="0069634B"/>
    <w:rsid w:val="0069635F"/>
    <w:rsid w:val="00696BD1"/>
    <w:rsid w:val="00696D02"/>
    <w:rsid w:val="00697333"/>
    <w:rsid w:val="0069747F"/>
    <w:rsid w:val="0069757E"/>
    <w:rsid w:val="00697768"/>
    <w:rsid w:val="006A0375"/>
    <w:rsid w:val="006A0500"/>
    <w:rsid w:val="006A056F"/>
    <w:rsid w:val="006A0CC9"/>
    <w:rsid w:val="006A0F6E"/>
    <w:rsid w:val="006A10FD"/>
    <w:rsid w:val="006A1296"/>
    <w:rsid w:val="006A1553"/>
    <w:rsid w:val="006A17BB"/>
    <w:rsid w:val="006A3037"/>
    <w:rsid w:val="006A3CDE"/>
    <w:rsid w:val="006A467F"/>
    <w:rsid w:val="006A4BA5"/>
    <w:rsid w:val="006A578B"/>
    <w:rsid w:val="006A58EB"/>
    <w:rsid w:val="006A68D3"/>
    <w:rsid w:val="006B09CB"/>
    <w:rsid w:val="006B0BA9"/>
    <w:rsid w:val="006B1253"/>
    <w:rsid w:val="006B1383"/>
    <w:rsid w:val="006B1463"/>
    <w:rsid w:val="006B14F0"/>
    <w:rsid w:val="006B1640"/>
    <w:rsid w:val="006B1E90"/>
    <w:rsid w:val="006B1F45"/>
    <w:rsid w:val="006B2055"/>
    <w:rsid w:val="006B2D44"/>
    <w:rsid w:val="006B4220"/>
    <w:rsid w:val="006B4386"/>
    <w:rsid w:val="006B4682"/>
    <w:rsid w:val="006B4F8F"/>
    <w:rsid w:val="006B5BEB"/>
    <w:rsid w:val="006B5D76"/>
    <w:rsid w:val="006B6B23"/>
    <w:rsid w:val="006B6C88"/>
    <w:rsid w:val="006B726E"/>
    <w:rsid w:val="006B7A92"/>
    <w:rsid w:val="006B7DAA"/>
    <w:rsid w:val="006B7E82"/>
    <w:rsid w:val="006C01B3"/>
    <w:rsid w:val="006C0920"/>
    <w:rsid w:val="006C095F"/>
    <w:rsid w:val="006C09D9"/>
    <w:rsid w:val="006C0A0D"/>
    <w:rsid w:val="006C0B90"/>
    <w:rsid w:val="006C0E60"/>
    <w:rsid w:val="006C18EE"/>
    <w:rsid w:val="006C2244"/>
    <w:rsid w:val="006C2CCB"/>
    <w:rsid w:val="006C2EF5"/>
    <w:rsid w:val="006C316B"/>
    <w:rsid w:val="006C3371"/>
    <w:rsid w:val="006C425F"/>
    <w:rsid w:val="006C4C4F"/>
    <w:rsid w:val="006C4F53"/>
    <w:rsid w:val="006C53A9"/>
    <w:rsid w:val="006C61E9"/>
    <w:rsid w:val="006C6487"/>
    <w:rsid w:val="006C69DC"/>
    <w:rsid w:val="006C72BC"/>
    <w:rsid w:val="006D04E4"/>
    <w:rsid w:val="006D094C"/>
    <w:rsid w:val="006D1275"/>
    <w:rsid w:val="006D148B"/>
    <w:rsid w:val="006D187B"/>
    <w:rsid w:val="006D1FE7"/>
    <w:rsid w:val="006D3D6E"/>
    <w:rsid w:val="006D45F8"/>
    <w:rsid w:val="006D4624"/>
    <w:rsid w:val="006D540D"/>
    <w:rsid w:val="006D5EF7"/>
    <w:rsid w:val="006D6127"/>
    <w:rsid w:val="006D66F1"/>
    <w:rsid w:val="006D6DFF"/>
    <w:rsid w:val="006D6F1C"/>
    <w:rsid w:val="006D7990"/>
    <w:rsid w:val="006D7FA8"/>
    <w:rsid w:val="006E13BF"/>
    <w:rsid w:val="006E17DC"/>
    <w:rsid w:val="006E1C77"/>
    <w:rsid w:val="006E200B"/>
    <w:rsid w:val="006E203E"/>
    <w:rsid w:val="006E21C5"/>
    <w:rsid w:val="006E2A31"/>
    <w:rsid w:val="006E2EB0"/>
    <w:rsid w:val="006E2FF2"/>
    <w:rsid w:val="006E307C"/>
    <w:rsid w:val="006E3AB7"/>
    <w:rsid w:val="006E3CA5"/>
    <w:rsid w:val="006E4229"/>
    <w:rsid w:val="006E44FA"/>
    <w:rsid w:val="006E4EB1"/>
    <w:rsid w:val="006E4EBC"/>
    <w:rsid w:val="006E4F2A"/>
    <w:rsid w:val="006E51AF"/>
    <w:rsid w:val="006E52C8"/>
    <w:rsid w:val="006E575A"/>
    <w:rsid w:val="006E7447"/>
    <w:rsid w:val="006E749E"/>
    <w:rsid w:val="006F0296"/>
    <w:rsid w:val="006F110F"/>
    <w:rsid w:val="006F1DB5"/>
    <w:rsid w:val="006F1DF1"/>
    <w:rsid w:val="006F22DE"/>
    <w:rsid w:val="006F2339"/>
    <w:rsid w:val="006F2D93"/>
    <w:rsid w:val="006F31E5"/>
    <w:rsid w:val="006F3B2C"/>
    <w:rsid w:val="006F45B8"/>
    <w:rsid w:val="006F4901"/>
    <w:rsid w:val="006F5017"/>
    <w:rsid w:val="006F5351"/>
    <w:rsid w:val="006F53A6"/>
    <w:rsid w:val="006F5602"/>
    <w:rsid w:val="006F592E"/>
    <w:rsid w:val="006F60E5"/>
    <w:rsid w:val="006F63FA"/>
    <w:rsid w:val="006F64CD"/>
    <w:rsid w:val="006F6578"/>
    <w:rsid w:val="006F70AF"/>
    <w:rsid w:val="006F70FC"/>
    <w:rsid w:val="00700066"/>
    <w:rsid w:val="00700BB8"/>
    <w:rsid w:val="007013C5"/>
    <w:rsid w:val="00701505"/>
    <w:rsid w:val="00701522"/>
    <w:rsid w:val="00701701"/>
    <w:rsid w:val="00701C77"/>
    <w:rsid w:val="00701D23"/>
    <w:rsid w:val="00701DC8"/>
    <w:rsid w:val="00702746"/>
    <w:rsid w:val="007027D3"/>
    <w:rsid w:val="00702B9A"/>
    <w:rsid w:val="00702F24"/>
    <w:rsid w:val="007033DE"/>
    <w:rsid w:val="00703A20"/>
    <w:rsid w:val="00703EFE"/>
    <w:rsid w:val="0070410C"/>
    <w:rsid w:val="00704472"/>
    <w:rsid w:val="00704D4F"/>
    <w:rsid w:val="0070521B"/>
    <w:rsid w:val="00705D6E"/>
    <w:rsid w:val="007060EA"/>
    <w:rsid w:val="007063EA"/>
    <w:rsid w:val="007065CD"/>
    <w:rsid w:val="00706807"/>
    <w:rsid w:val="007068C2"/>
    <w:rsid w:val="0070788C"/>
    <w:rsid w:val="007078F7"/>
    <w:rsid w:val="007107EC"/>
    <w:rsid w:val="0071137E"/>
    <w:rsid w:val="007119D8"/>
    <w:rsid w:val="00711C67"/>
    <w:rsid w:val="0071255D"/>
    <w:rsid w:val="0071282B"/>
    <w:rsid w:val="00712874"/>
    <w:rsid w:val="00713914"/>
    <w:rsid w:val="007142ED"/>
    <w:rsid w:val="007150CC"/>
    <w:rsid w:val="00715F85"/>
    <w:rsid w:val="00717681"/>
    <w:rsid w:val="00717AB6"/>
    <w:rsid w:val="00717C38"/>
    <w:rsid w:val="0072046A"/>
    <w:rsid w:val="0072082B"/>
    <w:rsid w:val="00720A8C"/>
    <w:rsid w:val="00720CE0"/>
    <w:rsid w:val="00720FDB"/>
    <w:rsid w:val="00721C68"/>
    <w:rsid w:val="00721D86"/>
    <w:rsid w:val="00721E36"/>
    <w:rsid w:val="00722620"/>
    <w:rsid w:val="00722834"/>
    <w:rsid w:val="00723397"/>
    <w:rsid w:val="007236C5"/>
    <w:rsid w:val="0072450B"/>
    <w:rsid w:val="00724CCD"/>
    <w:rsid w:val="00725227"/>
    <w:rsid w:val="00725419"/>
    <w:rsid w:val="007257B0"/>
    <w:rsid w:val="00726209"/>
    <w:rsid w:val="00726474"/>
    <w:rsid w:val="007264C5"/>
    <w:rsid w:val="0072673A"/>
    <w:rsid w:val="00726CB7"/>
    <w:rsid w:val="00726F07"/>
    <w:rsid w:val="007274A9"/>
    <w:rsid w:val="00727878"/>
    <w:rsid w:val="00727EB9"/>
    <w:rsid w:val="00727FF0"/>
    <w:rsid w:val="00730069"/>
    <w:rsid w:val="0073037D"/>
    <w:rsid w:val="0073100B"/>
    <w:rsid w:val="00731C86"/>
    <w:rsid w:val="00731F01"/>
    <w:rsid w:val="007325C5"/>
    <w:rsid w:val="00732F44"/>
    <w:rsid w:val="00733087"/>
    <w:rsid w:val="00733152"/>
    <w:rsid w:val="00734297"/>
    <w:rsid w:val="007342AF"/>
    <w:rsid w:val="00734AC4"/>
    <w:rsid w:val="007353DF"/>
    <w:rsid w:val="00735B11"/>
    <w:rsid w:val="007360FF"/>
    <w:rsid w:val="007362DB"/>
    <w:rsid w:val="007372A3"/>
    <w:rsid w:val="007404E6"/>
    <w:rsid w:val="007406D5"/>
    <w:rsid w:val="00740E22"/>
    <w:rsid w:val="00741BE8"/>
    <w:rsid w:val="00741CAB"/>
    <w:rsid w:val="0074240A"/>
    <w:rsid w:val="0074267C"/>
    <w:rsid w:val="00742725"/>
    <w:rsid w:val="00743009"/>
    <w:rsid w:val="00743468"/>
    <w:rsid w:val="0074495E"/>
    <w:rsid w:val="007450A3"/>
    <w:rsid w:val="0074564F"/>
    <w:rsid w:val="00745A7A"/>
    <w:rsid w:val="00747528"/>
    <w:rsid w:val="00747CEE"/>
    <w:rsid w:val="00750795"/>
    <w:rsid w:val="00750DC2"/>
    <w:rsid w:val="00751950"/>
    <w:rsid w:val="00751BEE"/>
    <w:rsid w:val="00752541"/>
    <w:rsid w:val="0075278C"/>
    <w:rsid w:val="0075287A"/>
    <w:rsid w:val="007529BE"/>
    <w:rsid w:val="00752FCD"/>
    <w:rsid w:val="00753122"/>
    <w:rsid w:val="007540F7"/>
    <w:rsid w:val="00755303"/>
    <w:rsid w:val="00755759"/>
    <w:rsid w:val="00755787"/>
    <w:rsid w:val="007557EF"/>
    <w:rsid w:val="00755956"/>
    <w:rsid w:val="00755FFE"/>
    <w:rsid w:val="007571C2"/>
    <w:rsid w:val="00757670"/>
    <w:rsid w:val="007576FD"/>
    <w:rsid w:val="00757858"/>
    <w:rsid w:val="00761573"/>
    <w:rsid w:val="007617D4"/>
    <w:rsid w:val="00761A23"/>
    <w:rsid w:val="00761AEB"/>
    <w:rsid w:val="00761E47"/>
    <w:rsid w:val="00761F6B"/>
    <w:rsid w:val="00762A57"/>
    <w:rsid w:val="00762FDD"/>
    <w:rsid w:val="00762FE3"/>
    <w:rsid w:val="00763329"/>
    <w:rsid w:val="00763CFA"/>
    <w:rsid w:val="00763D82"/>
    <w:rsid w:val="00763DFD"/>
    <w:rsid w:val="007640BC"/>
    <w:rsid w:val="00764364"/>
    <w:rsid w:val="00764B41"/>
    <w:rsid w:val="007651BE"/>
    <w:rsid w:val="00765508"/>
    <w:rsid w:val="007658C3"/>
    <w:rsid w:val="00765A71"/>
    <w:rsid w:val="00766013"/>
    <w:rsid w:val="007663F3"/>
    <w:rsid w:val="0076706F"/>
    <w:rsid w:val="00767B1E"/>
    <w:rsid w:val="007701AD"/>
    <w:rsid w:val="007709A9"/>
    <w:rsid w:val="00770E2E"/>
    <w:rsid w:val="0077152D"/>
    <w:rsid w:val="00772A97"/>
    <w:rsid w:val="00772CFE"/>
    <w:rsid w:val="00772F66"/>
    <w:rsid w:val="00773084"/>
    <w:rsid w:val="007742A2"/>
    <w:rsid w:val="0077454D"/>
    <w:rsid w:val="00775486"/>
    <w:rsid w:val="00776060"/>
    <w:rsid w:val="007763F2"/>
    <w:rsid w:val="00776739"/>
    <w:rsid w:val="007777CE"/>
    <w:rsid w:val="007779C9"/>
    <w:rsid w:val="00777BB6"/>
    <w:rsid w:val="00780499"/>
    <w:rsid w:val="007806AC"/>
    <w:rsid w:val="00780801"/>
    <w:rsid w:val="00780CFE"/>
    <w:rsid w:val="00781E47"/>
    <w:rsid w:val="00781E91"/>
    <w:rsid w:val="00782349"/>
    <w:rsid w:val="00782562"/>
    <w:rsid w:val="00782901"/>
    <w:rsid w:val="00782C04"/>
    <w:rsid w:val="007830B4"/>
    <w:rsid w:val="00783715"/>
    <w:rsid w:val="00783D97"/>
    <w:rsid w:val="00783F42"/>
    <w:rsid w:val="00783FBF"/>
    <w:rsid w:val="0078403D"/>
    <w:rsid w:val="007843A5"/>
    <w:rsid w:val="00784B0D"/>
    <w:rsid w:val="00784E13"/>
    <w:rsid w:val="007850BD"/>
    <w:rsid w:val="0078541C"/>
    <w:rsid w:val="0078542C"/>
    <w:rsid w:val="007858A1"/>
    <w:rsid w:val="00785B88"/>
    <w:rsid w:val="007864C5"/>
    <w:rsid w:val="007865C2"/>
    <w:rsid w:val="00786686"/>
    <w:rsid w:val="00787788"/>
    <w:rsid w:val="0078794E"/>
    <w:rsid w:val="00787AB8"/>
    <w:rsid w:val="00787BB5"/>
    <w:rsid w:val="007913A7"/>
    <w:rsid w:val="00791BEF"/>
    <w:rsid w:val="0079204A"/>
    <w:rsid w:val="00792434"/>
    <w:rsid w:val="00792C39"/>
    <w:rsid w:val="00792C56"/>
    <w:rsid w:val="007936F9"/>
    <w:rsid w:val="00793FE1"/>
    <w:rsid w:val="007962AF"/>
    <w:rsid w:val="007965AF"/>
    <w:rsid w:val="007969D3"/>
    <w:rsid w:val="00796A87"/>
    <w:rsid w:val="00797899"/>
    <w:rsid w:val="007A061E"/>
    <w:rsid w:val="007A1B63"/>
    <w:rsid w:val="007A2168"/>
    <w:rsid w:val="007A2278"/>
    <w:rsid w:val="007A26D0"/>
    <w:rsid w:val="007A2803"/>
    <w:rsid w:val="007A2E47"/>
    <w:rsid w:val="007A2EC0"/>
    <w:rsid w:val="007A3314"/>
    <w:rsid w:val="007A39CD"/>
    <w:rsid w:val="007A42FD"/>
    <w:rsid w:val="007A441F"/>
    <w:rsid w:val="007A4439"/>
    <w:rsid w:val="007A4545"/>
    <w:rsid w:val="007A6F11"/>
    <w:rsid w:val="007A6F17"/>
    <w:rsid w:val="007A6F9D"/>
    <w:rsid w:val="007A7393"/>
    <w:rsid w:val="007A7C31"/>
    <w:rsid w:val="007B06C8"/>
    <w:rsid w:val="007B0FDC"/>
    <w:rsid w:val="007B1B11"/>
    <w:rsid w:val="007B28DD"/>
    <w:rsid w:val="007B2CA9"/>
    <w:rsid w:val="007B379A"/>
    <w:rsid w:val="007B3AD3"/>
    <w:rsid w:val="007B447B"/>
    <w:rsid w:val="007B4575"/>
    <w:rsid w:val="007B4FE9"/>
    <w:rsid w:val="007B5615"/>
    <w:rsid w:val="007B56FC"/>
    <w:rsid w:val="007B59B0"/>
    <w:rsid w:val="007B59F2"/>
    <w:rsid w:val="007B5DD9"/>
    <w:rsid w:val="007B5DF3"/>
    <w:rsid w:val="007B5E27"/>
    <w:rsid w:val="007B6B67"/>
    <w:rsid w:val="007B721A"/>
    <w:rsid w:val="007B7383"/>
    <w:rsid w:val="007B7427"/>
    <w:rsid w:val="007B7C67"/>
    <w:rsid w:val="007B7CE9"/>
    <w:rsid w:val="007C02D7"/>
    <w:rsid w:val="007C039D"/>
    <w:rsid w:val="007C0A01"/>
    <w:rsid w:val="007C0A27"/>
    <w:rsid w:val="007C1309"/>
    <w:rsid w:val="007C152A"/>
    <w:rsid w:val="007C1536"/>
    <w:rsid w:val="007C1874"/>
    <w:rsid w:val="007C1D82"/>
    <w:rsid w:val="007C1FEF"/>
    <w:rsid w:val="007C2803"/>
    <w:rsid w:val="007C35ED"/>
    <w:rsid w:val="007C389B"/>
    <w:rsid w:val="007C3E02"/>
    <w:rsid w:val="007C4349"/>
    <w:rsid w:val="007C4A8A"/>
    <w:rsid w:val="007C4B27"/>
    <w:rsid w:val="007C4F61"/>
    <w:rsid w:val="007C5AEE"/>
    <w:rsid w:val="007C5FA5"/>
    <w:rsid w:val="007C611F"/>
    <w:rsid w:val="007C7097"/>
    <w:rsid w:val="007C78CA"/>
    <w:rsid w:val="007C7D7D"/>
    <w:rsid w:val="007C7F0A"/>
    <w:rsid w:val="007D0322"/>
    <w:rsid w:val="007D0A8C"/>
    <w:rsid w:val="007D0C0B"/>
    <w:rsid w:val="007D0CE7"/>
    <w:rsid w:val="007D1E59"/>
    <w:rsid w:val="007D2B28"/>
    <w:rsid w:val="007D2E18"/>
    <w:rsid w:val="007D2F91"/>
    <w:rsid w:val="007D36AB"/>
    <w:rsid w:val="007D3B41"/>
    <w:rsid w:val="007D3C48"/>
    <w:rsid w:val="007D3F8F"/>
    <w:rsid w:val="007D41ED"/>
    <w:rsid w:val="007D45BB"/>
    <w:rsid w:val="007D45F2"/>
    <w:rsid w:val="007D4B7F"/>
    <w:rsid w:val="007D57F1"/>
    <w:rsid w:val="007D5894"/>
    <w:rsid w:val="007D5B78"/>
    <w:rsid w:val="007D5D88"/>
    <w:rsid w:val="007D5E2A"/>
    <w:rsid w:val="007D62B7"/>
    <w:rsid w:val="007D6E7F"/>
    <w:rsid w:val="007D736D"/>
    <w:rsid w:val="007D7388"/>
    <w:rsid w:val="007D7D41"/>
    <w:rsid w:val="007E010F"/>
    <w:rsid w:val="007E0112"/>
    <w:rsid w:val="007E037A"/>
    <w:rsid w:val="007E0631"/>
    <w:rsid w:val="007E0893"/>
    <w:rsid w:val="007E08D9"/>
    <w:rsid w:val="007E0D2C"/>
    <w:rsid w:val="007E10D8"/>
    <w:rsid w:val="007E137B"/>
    <w:rsid w:val="007E18F4"/>
    <w:rsid w:val="007E2247"/>
    <w:rsid w:val="007E2B18"/>
    <w:rsid w:val="007E37A0"/>
    <w:rsid w:val="007E45CB"/>
    <w:rsid w:val="007E55AA"/>
    <w:rsid w:val="007E562D"/>
    <w:rsid w:val="007E5A4D"/>
    <w:rsid w:val="007E7799"/>
    <w:rsid w:val="007E7CB1"/>
    <w:rsid w:val="007F00D4"/>
    <w:rsid w:val="007F0CC3"/>
    <w:rsid w:val="007F12BD"/>
    <w:rsid w:val="007F142E"/>
    <w:rsid w:val="007F1C2A"/>
    <w:rsid w:val="007F2A97"/>
    <w:rsid w:val="007F3306"/>
    <w:rsid w:val="007F359A"/>
    <w:rsid w:val="007F3A69"/>
    <w:rsid w:val="007F3CD5"/>
    <w:rsid w:val="007F419B"/>
    <w:rsid w:val="007F4384"/>
    <w:rsid w:val="007F4E1D"/>
    <w:rsid w:val="007F53E4"/>
    <w:rsid w:val="007F549D"/>
    <w:rsid w:val="007F5598"/>
    <w:rsid w:val="007F5BBB"/>
    <w:rsid w:val="007F6568"/>
    <w:rsid w:val="007F68B7"/>
    <w:rsid w:val="007F737F"/>
    <w:rsid w:val="007F78E9"/>
    <w:rsid w:val="007F7D31"/>
    <w:rsid w:val="008001D6"/>
    <w:rsid w:val="00800FC8"/>
    <w:rsid w:val="00801947"/>
    <w:rsid w:val="008027B8"/>
    <w:rsid w:val="008029DD"/>
    <w:rsid w:val="00803648"/>
    <w:rsid w:val="008037A9"/>
    <w:rsid w:val="00803819"/>
    <w:rsid w:val="00803F56"/>
    <w:rsid w:val="00804051"/>
    <w:rsid w:val="0080435E"/>
    <w:rsid w:val="008044A3"/>
    <w:rsid w:val="0080464F"/>
    <w:rsid w:val="00805FC9"/>
    <w:rsid w:val="00806FF0"/>
    <w:rsid w:val="00807D8C"/>
    <w:rsid w:val="00810A7D"/>
    <w:rsid w:val="00810E8F"/>
    <w:rsid w:val="00811DD9"/>
    <w:rsid w:val="008124B7"/>
    <w:rsid w:val="00813910"/>
    <w:rsid w:val="00814385"/>
    <w:rsid w:val="00814510"/>
    <w:rsid w:val="0081479F"/>
    <w:rsid w:val="00814D6E"/>
    <w:rsid w:val="00815124"/>
    <w:rsid w:val="00815825"/>
    <w:rsid w:val="00815F19"/>
    <w:rsid w:val="008160BD"/>
    <w:rsid w:val="008170D0"/>
    <w:rsid w:val="00817719"/>
    <w:rsid w:val="00823528"/>
    <w:rsid w:val="00823A3F"/>
    <w:rsid w:val="00824B59"/>
    <w:rsid w:val="00825E0F"/>
    <w:rsid w:val="008265A5"/>
    <w:rsid w:val="00826C43"/>
    <w:rsid w:val="00826D2B"/>
    <w:rsid w:val="00826DEE"/>
    <w:rsid w:val="008272DF"/>
    <w:rsid w:val="00827658"/>
    <w:rsid w:val="00827A37"/>
    <w:rsid w:val="00827C1C"/>
    <w:rsid w:val="00827CF0"/>
    <w:rsid w:val="00831819"/>
    <w:rsid w:val="00831B7F"/>
    <w:rsid w:val="00832624"/>
    <w:rsid w:val="008332DE"/>
    <w:rsid w:val="00833327"/>
    <w:rsid w:val="00833A33"/>
    <w:rsid w:val="00833FBE"/>
    <w:rsid w:val="0083431B"/>
    <w:rsid w:val="00834452"/>
    <w:rsid w:val="00834991"/>
    <w:rsid w:val="00835523"/>
    <w:rsid w:val="00835620"/>
    <w:rsid w:val="0083587B"/>
    <w:rsid w:val="008362F3"/>
    <w:rsid w:val="008364A3"/>
    <w:rsid w:val="0083710A"/>
    <w:rsid w:val="00837CD1"/>
    <w:rsid w:val="008404BC"/>
    <w:rsid w:val="008411B4"/>
    <w:rsid w:val="0084168F"/>
    <w:rsid w:val="00841696"/>
    <w:rsid w:val="00841EF6"/>
    <w:rsid w:val="008427B4"/>
    <w:rsid w:val="008427F8"/>
    <w:rsid w:val="008427FA"/>
    <w:rsid w:val="008429C7"/>
    <w:rsid w:val="00844200"/>
    <w:rsid w:val="008445A3"/>
    <w:rsid w:val="008447F9"/>
    <w:rsid w:val="00844C60"/>
    <w:rsid w:val="00844D56"/>
    <w:rsid w:val="0084522B"/>
    <w:rsid w:val="00845400"/>
    <w:rsid w:val="008454AB"/>
    <w:rsid w:val="008454D7"/>
    <w:rsid w:val="008461EA"/>
    <w:rsid w:val="008466C0"/>
    <w:rsid w:val="00850719"/>
    <w:rsid w:val="00850C7F"/>
    <w:rsid w:val="00850D8C"/>
    <w:rsid w:val="0085128A"/>
    <w:rsid w:val="00852446"/>
    <w:rsid w:val="008529FD"/>
    <w:rsid w:val="00852A84"/>
    <w:rsid w:val="00852ED3"/>
    <w:rsid w:val="008548A0"/>
    <w:rsid w:val="00854F07"/>
    <w:rsid w:val="00854F30"/>
    <w:rsid w:val="00855057"/>
    <w:rsid w:val="0085530C"/>
    <w:rsid w:val="00855A6C"/>
    <w:rsid w:val="00855E0D"/>
    <w:rsid w:val="008563E1"/>
    <w:rsid w:val="008566C8"/>
    <w:rsid w:val="0085684D"/>
    <w:rsid w:val="0085692E"/>
    <w:rsid w:val="00857024"/>
    <w:rsid w:val="00857D8D"/>
    <w:rsid w:val="0086048A"/>
    <w:rsid w:val="008609B2"/>
    <w:rsid w:val="00860AA0"/>
    <w:rsid w:val="00860EB4"/>
    <w:rsid w:val="00860F35"/>
    <w:rsid w:val="00861303"/>
    <w:rsid w:val="00861ABD"/>
    <w:rsid w:val="00861C86"/>
    <w:rsid w:val="00862305"/>
    <w:rsid w:val="008624E7"/>
    <w:rsid w:val="008625FC"/>
    <w:rsid w:val="008627EF"/>
    <w:rsid w:val="00862CD5"/>
    <w:rsid w:val="00862E32"/>
    <w:rsid w:val="008638D0"/>
    <w:rsid w:val="00863B07"/>
    <w:rsid w:val="00864FEB"/>
    <w:rsid w:val="00865A0D"/>
    <w:rsid w:val="00866339"/>
    <w:rsid w:val="00866464"/>
    <w:rsid w:val="00866CB4"/>
    <w:rsid w:val="00867381"/>
    <w:rsid w:val="00867920"/>
    <w:rsid w:val="0086792C"/>
    <w:rsid w:val="00867B98"/>
    <w:rsid w:val="00870330"/>
    <w:rsid w:val="00870E9C"/>
    <w:rsid w:val="00871BF5"/>
    <w:rsid w:val="0087233A"/>
    <w:rsid w:val="008726FF"/>
    <w:rsid w:val="00872AD5"/>
    <w:rsid w:val="00874636"/>
    <w:rsid w:val="00874E98"/>
    <w:rsid w:val="00876E50"/>
    <w:rsid w:val="008771AE"/>
    <w:rsid w:val="00877E52"/>
    <w:rsid w:val="00880280"/>
    <w:rsid w:val="00880738"/>
    <w:rsid w:val="00880B9B"/>
    <w:rsid w:val="00880FB5"/>
    <w:rsid w:val="008810EF"/>
    <w:rsid w:val="0088121F"/>
    <w:rsid w:val="00881685"/>
    <w:rsid w:val="00881BDA"/>
    <w:rsid w:val="00881C55"/>
    <w:rsid w:val="00882C26"/>
    <w:rsid w:val="00883391"/>
    <w:rsid w:val="00883486"/>
    <w:rsid w:val="008834F7"/>
    <w:rsid w:val="008838D3"/>
    <w:rsid w:val="008840B5"/>
    <w:rsid w:val="0088433C"/>
    <w:rsid w:val="00884799"/>
    <w:rsid w:val="008849AF"/>
    <w:rsid w:val="00884EC2"/>
    <w:rsid w:val="0088526C"/>
    <w:rsid w:val="0088667A"/>
    <w:rsid w:val="00886713"/>
    <w:rsid w:val="00886763"/>
    <w:rsid w:val="00886A8A"/>
    <w:rsid w:val="00886FDB"/>
    <w:rsid w:val="008871F0"/>
    <w:rsid w:val="008879DB"/>
    <w:rsid w:val="00887A5C"/>
    <w:rsid w:val="0089017E"/>
    <w:rsid w:val="00890926"/>
    <w:rsid w:val="00890CBB"/>
    <w:rsid w:val="00891578"/>
    <w:rsid w:val="00891799"/>
    <w:rsid w:val="008928E4"/>
    <w:rsid w:val="00892A9F"/>
    <w:rsid w:val="00892E4C"/>
    <w:rsid w:val="0089317E"/>
    <w:rsid w:val="00894957"/>
    <w:rsid w:val="0089498C"/>
    <w:rsid w:val="00894AF4"/>
    <w:rsid w:val="008952B1"/>
    <w:rsid w:val="0089584B"/>
    <w:rsid w:val="00897728"/>
    <w:rsid w:val="00897E24"/>
    <w:rsid w:val="008A0DE5"/>
    <w:rsid w:val="008A1589"/>
    <w:rsid w:val="008A23E1"/>
    <w:rsid w:val="008A2AF8"/>
    <w:rsid w:val="008A2BAA"/>
    <w:rsid w:val="008A2D76"/>
    <w:rsid w:val="008A2F7E"/>
    <w:rsid w:val="008A373D"/>
    <w:rsid w:val="008A37D1"/>
    <w:rsid w:val="008A384B"/>
    <w:rsid w:val="008A46E0"/>
    <w:rsid w:val="008A5224"/>
    <w:rsid w:val="008A65B0"/>
    <w:rsid w:val="008B127B"/>
    <w:rsid w:val="008B1723"/>
    <w:rsid w:val="008B2078"/>
    <w:rsid w:val="008B2CB4"/>
    <w:rsid w:val="008B37F6"/>
    <w:rsid w:val="008B3BAF"/>
    <w:rsid w:val="008B43CF"/>
    <w:rsid w:val="008B445C"/>
    <w:rsid w:val="008B4747"/>
    <w:rsid w:val="008B4E37"/>
    <w:rsid w:val="008B5421"/>
    <w:rsid w:val="008B566E"/>
    <w:rsid w:val="008B58BB"/>
    <w:rsid w:val="008B5F08"/>
    <w:rsid w:val="008B64D5"/>
    <w:rsid w:val="008B6CF9"/>
    <w:rsid w:val="008B7071"/>
    <w:rsid w:val="008B7FC8"/>
    <w:rsid w:val="008C07EF"/>
    <w:rsid w:val="008C0894"/>
    <w:rsid w:val="008C1CE1"/>
    <w:rsid w:val="008C2AAA"/>
    <w:rsid w:val="008C2ABE"/>
    <w:rsid w:val="008C2F5B"/>
    <w:rsid w:val="008C33BA"/>
    <w:rsid w:val="008C3756"/>
    <w:rsid w:val="008C38AE"/>
    <w:rsid w:val="008C419C"/>
    <w:rsid w:val="008C4536"/>
    <w:rsid w:val="008C5291"/>
    <w:rsid w:val="008C55F1"/>
    <w:rsid w:val="008C5F15"/>
    <w:rsid w:val="008C629F"/>
    <w:rsid w:val="008C6E03"/>
    <w:rsid w:val="008C70C9"/>
    <w:rsid w:val="008C7AE6"/>
    <w:rsid w:val="008C7F3C"/>
    <w:rsid w:val="008D021D"/>
    <w:rsid w:val="008D084F"/>
    <w:rsid w:val="008D13FC"/>
    <w:rsid w:val="008D1BCD"/>
    <w:rsid w:val="008D1ECE"/>
    <w:rsid w:val="008D235F"/>
    <w:rsid w:val="008D26E1"/>
    <w:rsid w:val="008D2EF7"/>
    <w:rsid w:val="008D3181"/>
    <w:rsid w:val="008D370C"/>
    <w:rsid w:val="008D3B2E"/>
    <w:rsid w:val="008D3C0A"/>
    <w:rsid w:val="008D3D1E"/>
    <w:rsid w:val="008D3EB9"/>
    <w:rsid w:val="008D4199"/>
    <w:rsid w:val="008D4288"/>
    <w:rsid w:val="008D4644"/>
    <w:rsid w:val="008D47E9"/>
    <w:rsid w:val="008D4A8E"/>
    <w:rsid w:val="008D50DF"/>
    <w:rsid w:val="008D5702"/>
    <w:rsid w:val="008D5797"/>
    <w:rsid w:val="008D5BA2"/>
    <w:rsid w:val="008D6A7E"/>
    <w:rsid w:val="008D6A9E"/>
    <w:rsid w:val="008D6E3B"/>
    <w:rsid w:val="008D75AB"/>
    <w:rsid w:val="008D768B"/>
    <w:rsid w:val="008E032A"/>
    <w:rsid w:val="008E07D2"/>
    <w:rsid w:val="008E0B7B"/>
    <w:rsid w:val="008E0D73"/>
    <w:rsid w:val="008E0DEB"/>
    <w:rsid w:val="008E17F4"/>
    <w:rsid w:val="008E19CF"/>
    <w:rsid w:val="008E260D"/>
    <w:rsid w:val="008E26AF"/>
    <w:rsid w:val="008E27EF"/>
    <w:rsid w:val="008E347A"/>
    <w:rsid w:val="008E3CB7"/>
    <w:rsid w:val="008E4628"/>
    <w:rsid w:val="008E4FA3"/>
    <w:rsid w:val="008E599A"/>
    <w:rsid w:val="008E5D5B"/>
    <w:rsid w:val="008E5F96"/>
    <w:rsid w:val="008E615E"/>
    <w:rsid w:val="008E6649"/>
    <w:rsid w:val="008E6B40"/>
    <w:rsid w:val="008E6D57"/>
    <w:rsid w:val="008E6E3D"/>
    <w:rsid w:val="008E787B"/>
    <w:rsid w:val="008E78D9"/>
    <w:rsid w:val="008E7963"/>
    <w:rsid w:val="008F01F3"/>
    <w:rsid w:val="008F0247"/>
    <w:rsid w:val="008F066B"/>
    <w:rsid w:val="008F0AA9"/>
    <w:rsid w:val="008F13F0"/>
    <w:rsid w:val="008F1649"/>
    <w:rsid w:val="008F1A30"/>
    <w:rsid w:val="008F2856"/>
    <w:rsid w:val="008F29BC"/>
    <w:rsid w:val="008F2EA5"/>
    <w:rsid w:val="008F3642"/>
    <w:rsid w:val="008F4032"/>
    <w:rsid w:val="008F44EE"/>
    <w:rsid w:val="008F456E"/>
    <w:rsid w:val="008F5279"/>
    <w:rsid w:val="008F56ED"/>
    <w:rsid w:val="008F592B"/>
    <w:rsid w:val="008F6326"/>
    <w:rsid w:val="008F747E"/>
    <w:rsid w:val="00900498"/>
    <w:rsid w:val="00900D6A"/>
    <w:rsid w:val="00900E67"/>
    <w:rsid w:val="0090148C"/>
    <w:rsid w:val="009018F4"/>
    <w:rsid w:val="00901E58"/>
    <w:rsid w:val="009020E4"/>
    <w:rsid w:val="00903240"/>
    <w:rsid w:val="00903338"/>
    <w:rsid w:val="009051F3"/>
    <w:rsid w:val="009057CA"/>
    <w:rsid w:val="00905E71"/>
    <w:rsid w:val="00906400"/>
    <w:rsid w:val="00906479"/>
    <w:rsid w:val="009073D4"/>
    <w:rsid w:val="009079F6"/>
    <w:rsid w:val="009113E0"/>
    <w:rsid w:val="009114D4"/>
    <w:rsid w:val="0091150B"/>
    <w:rsid w:val="009122F9"/>
    <w:rsid w:val="00912D23"/>
    <w:rsid w:val="00912D75"/>
    <w:rsid w:val="009139BD"/>
    <w:rsid w:val="00914716"/>
    <w:rsid w:val="00914C70"/>
    <w:rsid w:val="00914EAB"/>
    <w:rsid w:val="00915527"/>
    <w:rsid w:val="0091669F"/>
    <w:rsid w:val="009169B2"/>
    <w:rsid w:val="00917505"/>
    <w:rsid w:val="0091783B"/>
    <w:rsid w:val="00920AFE"/>
    <w:rsid w:val="00920CC6"/>
    <w:rsid w:val="00921256"/>
    <w:rsid w:val="00921EF9"/>
    <w:rsid w:val="009227F1"/>
    <w:rsid w:val="0092320F"/>
    <w:rsid w:val="009237C3"/>
    <w:rsid w:val="009243BD"/>
    <w:rsid w:val="00925566"/>
    <w:rsid w:val="00925E23"/>
    <w:rsid w:val="00926276"/>
    <w:rsid w:val="009268D8"/>
    <w:rsid w:val="00926B94"/>
    <w:rsid w:val="00926D6C"/>
    <w:rsid w:val="009270F9"/>
    <w:rsid w:val="00927290"/>
    <w:rsid w:val="00927364"/>
    <w:rsid w:val="00927657"/>
    <w:rsid w:val="00927700"/>
    <w:rsid w:val="009277D0"/>
    <w:rsid w:val="00927DDE"/>
    <w:rsid w:val="009313F9"/>
    <w:rsid w:val="00931642"/>
    <w:rsid w:val="00931A0B"/>
    <w:rsid w:val="0093228A"/>
    <w:rsid w:val="009324B4"/>
    <w:rsid w:val="00932A06"/>
    <w:rsid w:val="00932AC1"/>
    <w:rsid w:val="0093312E"/>
    <w:rsid w:val="00933A82"/>
    <w:rsid w:val="00933F75"/>
    <w:rsid w:val="009348F7"/>
    <w:rsid w:val="0093497A"/>
    <w:rsid w:val="00934A15"/>
    <w:rsid w:val="00934E30"/>
    <w:rsid w:val="009350F1"/>
    <w:rsid w:val="00935398"/>
    <w:rsid w:val="0093543A"/>
    <w:rsid w:val="00935B04"/>
    <w:rsid w:val="00936075"/>
    <w:rsid w:val="00936A0B"/>
    <w:rsid w:val="00936E57"/>
    <w:rsid w:val="00936E65"/>
    <w:rsid w:val="00937281"/>
    <w:rsid w:val="00937297"/>
    <w:rsid w:val="009376C2"/>
    <w:rsid w:val="00937AD9"/>
    <w:rsid w:val="009406FB"/>
    <w:rsid w:val="00940AB9"/>
    <w:rsid w:val="00940B96"/>
    <w:rsid w:val="00941108"/>
    <w:rsid w:val="00941430"/>
    <w:rsid w:val="009415F5"/>
    <w:rsid w:val="0094186B"/>
    <w:rsid w:val="00941BF1"/>
    <w:rsid w:val="009422E6"/>
    <w:rsid w:val="00942C34"/>
    <w:rsid w:val="009436E1"/>
    <w:rsid w:val="00944864"/>
    <w:rsid w:val="0094612E"/>
    <w:rsid w:val="00946BD2"/>
    <w:rsid w:val="00947501"/>
    <w:rsid w:val="00951BEB"/>
    <w:rsid w:val="00952362"/>
    <w:rsid w:val="009524F9"/>
    <w:rsid w:val="00952603"/>
    <w:rsid w:val="00953EDE"/>
    <w:rsid w:val="009540E1"/>
    <w:rsid w:val="00954663"/>
    <w:rsid w:val="009547EF"/>
    <w:rsid w:val="00954AAA"/>
    <w:rsid w:val="009552CC"/>
    <w:rsid w:val="009566C0"/>
    <w:rsid w:val="00956CB1"/>
    <w:rsid w:val="00957147"/>
    <w:rsid w:val="009572D8"/>
    <w:rsid w:val="00957AB2"/>
    <w:rsid w:val="00957B10"/>
    <w:rsid w:val="00957C6D"/>
    <w:rsid w:val="00957F88"/>
    <w:rsid w:val="0096092F"/>
    <w:rsid w:val="00960CB8"/>
    <w:rsid w:val="00960F14"/>
    <w:rsid w:val="00960F4F"/>
    <w:rsid w:val="00961F45"/>
    <w:rsid w:val="00963839"/>
    <w:rsid w:val="00963B04"/>
    <w:rsid w:val="0096531A"/>
    <w:rsid w:val="00965375"/>
    <w:rsid w:val="00965789"/>
    <w:rsid w:val="00965843"/>
    <w:rsid w:val="00966380"/>
    <w:rsid w:val="00966EFB"/>
    <w:rsid w:val="009671B6"/>
    <w:rsid w:val="00967913"/>
    <w:rsid w:val="00967B27"/>
    <w:rsid w:val="0097007E"/>
    <w:rsid w:val="0097011F"/>
    <w:rsid w:val="0097033C"/>
    <w:rsid w:val="00971360"/>
    <w:rsid w:val="00971734"/>
    <w:rsid w:val="00972099"/>
    <w:rsid w:val="0097272F"/>
    <w:rsid w:val="00972B4D"/>
    <w:rsid w:val="00973BFA"/>
    <w:rsid w:val="00973DBD"/>
    <w:rsid w:val="00975762"/>
    <w:rsid w:val="00975B4B"/>
    <w:rsid w:val="00976509"/>
    <w:rsid w:val="00976D61"/>
    <w:rsid w:val="0097719F"/>
    <w:rsid w:val="009777FB"/>
    <w:rsid w:val="00977870"/>
    <w:rsid w:val="00977C76"/>
    <w:rsid w:val="009800F0"/>
    <w:rsid w:val="00981D81"/>
    <w:rsid w:val="00981FD0"/>
    <w:rsid w:val="009821D7"/>
    <w:rsid w:val="00982914"/>
    <w:rsid w:val="00982F94"/>
    <w:rsid w:val="0098411B"/>
    <w:rsid w:val="009845A7"/>
    <w:rsid w:val="0098484B"/>
    <w:rsid w:val="00984B3A"/>
    <w:rsid w:val="009852B1"/>
    <w:rsid w:val="0098559A"/>
    <w:rsid w:val="0098685C"/>
    <w:rsid w:val="00986944"/>
    <w:rsid w:val="00986D29"/>
    <w:rsid w:val="009875ED"/>
    <w:rsid w:val="00987661"/>
    <w:rsid w:val="00987740"/>
    <w:rsid w:val="00987887"/>
    <w:rsid w:val="0099085E"/>
    <w:rsid w:val="00990B31"/>
    <w:rsid w:val="009910F6"/>
    <w:rsid w:val="009912B0"/>
    <w:rsid w:val="00991622"/>
    <w:rsid w:val="00991E78"/>
    <w:rsid w:val="00993E8F"/>
    <w:rsid w:val="009940CB"/>
    <w:rsid w:val="009946FC"/>
    <w:rsid w:val="0099567A"/>
    <w:rsid w:val="00995A16"/>
    <w:rsid w:val="00995C68"/>
    <w:rsid w:val="00995D36"/>
    <w:rsid w:val="00996641"/>
    <w:rsid w:val="00996E1D"/>
    <w:rsid w:val="00996E60"/>
    <w:rsid w:val="00996FEC"/>
    <w:rsid w:val="009971CF"/>
    <w:rsid w:val="009A001C"/>
    <w:rsid w:val="009A0746"/>
    <w:rsid w:val="009A0D66"/>
    <w:rsid w:val="009A0E24"/>
    <w:rsid w:val="009A0EA1"/>
    <w:rsid w:val="009A1516"/>
    <w:rsid w:val="009A1A17"/>
    <w:rsid w:val="009A2B31"/>
    <w:rsid w:val="009A2BB6"/>
    <w:rsid w:val="009A2F34"/>
    <w:rsid w:val="009A30D0"/>
    <w:rsid w:val="009A356F"/>
    <w:rsid w:val="009A37ED"/>
    <w:rsid w:val="009A38D2"/>
    <w:rsid w:val="009A3A4A"/>
    <w:rsid w:val="009A3F80"/>
    <w:rsid w:val="009A4259"/>
    <w:rsid w:val="009A5458"/>
    <w:rsid w:val="009A5EA1"/>
    <w:rsid w:val="009A5F35"/>
    <w:rsid w:val="009A6C8D"/>
    <w:rsid w:val="009A6FDD"/>
    <w:rsid w:val="009A7A37"/>
    <w:rsid w:val="009A7C52"/>
    <w:rsid w:val="009B0B0F"/>
    <w:rsid w:val="009B0D37"/>
    <w:rsid w:val="009B0D47"/>
    <w:rsid w:val="009B1075"/>
    <w:rsid w:val="009B1C4E"/>
    <w:rsid w:val="009B1F9D"/>
    <w:rsid w:val="009B237F"/>
    <w:rsid w:val="009B2916"/>
    <w:rsid w:val="009B2B93"/>
    <w:rsid w:val="009B3685"/>
    <w:rsid w:val="009B3B24"/>
    <w:rsid w:val="009B3B7C"/>
    <w:rsid w:val="009B503E"/>
    <w:rsid w:val="009B5375"/>
    <w:rsid w:val="009B53C3"/>
    <w:rsid w:val="009B5930"/>
    <w:rsid w:val="009B5A76"/>
    <w:rsid w:val="009B5B69"/>
    <w:rsid w:val="009B5B87"/>
    <w:rsid w:val="009B7E23"/>
    <w:rsid w:val="009C0025"/>
    <w:rsid w:val="009C09E7"/>
    <w:rsid w:val="009C0C74"/>
    <w:rsid w:val="009C1233"/>
    <w:rsid w:val="009C19EB"/>
    <w:rsid w:val="009C1E4B"/>
    <w:rsid w:val="009C2D3D"/>
    <w:rsid w:val="009C2FFD"/>
    <w:rsid w:val="009C32F6"/>
    <w:rsid w:val="009C3567"/>
    <w:rsid w:val="009C35E2"/>
    <w:rsid w:val="009C3EC7"/>
    <w:rsid w:val="009C4DAF"/>
    <w:rsid w:val="009C5662"/>
    <w:rsid w:val="009C6641"/>
    <w:rsid w:val="009C66E3"/>
    <w:rsid w:val="009C68CE"/>
    <w:rsid w:val="009C69CE"/>
    <w:rsid w:val="009C6CC0"/>
    <w:rsid w:val="009C708C"/>
    <w:rsid w:val="009C7BC1"/>
    <w:rsid w:val="009C7C7E"/>
    <w:rsid w:val="009C7D08"/>
    <w:rsid w:val="009D06F9"/>
    <w:rsid w:val="009D08FB"/>
    <w:rsid w:val="009D0E48"/>
    <w:rsid w:val="009D14EB"/>
    <w:rsid w:val="009D1699"/>
    <w:rsid w:val="009D195C"/>
    <w:rsid w:val="009D2506"/>
    <w:rsid w:val="009D274F"/>
    <w:rsid w:val="009D4798"/>
    <w:rsid w:val="009D496B"/>
    <w:rsid w:val="009D54F0"/>
    <w:rsid w:val="009D5E34"/>
    <w:rsid w:val="009D6047"/>
    <w:rsid w:val="009D6B46"/>
    <w:rsid w:val="009D71A8"/>
    <w:rsid w:val="009D76FB"/>
    <w:rsid w:val="009E014E"/>
    <w:rsid w:val="009E09A3"/>
    <w:rsid w:val="009E0B35"/>
    <w:rsid w:val="009E1933"/>
    <w:rsid w:val="009E35DC"/>
    <w:rsid w:val="009E367F"/>
    <w:rsid w:val="009E3C95"/>
    <w:rsid w:val="009E3D86"/>
    <w:rsid w:val="009E4AAC"/>
    <w:rsid w:val="009E4CF5"/>
    <w:rsid w:val="009E4F75"/>
    <w:rsid w:val="009E5141"/>
    <w:rsid w:val="009E5769"/>
    <w:rsid w:val="009E590E"/>
    <w:rsid w:val="009E5CC0"/>
    <w:rsid w:val="009E5CC5"/>
    <w:rsid w:val="009E5D22"/>
    <w:rsid w:val="009E633B"/>
    <w:rsid w:val="009E66D5"/>
    <w:rsid w:val="009E6CE3"/>
    <w:rsid w:val="009E6D73"/>
    <w:rsid w:val="009F0DF3"/>
    <w:rsid w:val="009F1187"/>
    <w:rsid w:val="009F147A"/>
    <w:rsid w:val="009F1A5C"/>
    <w:rsid w:val="009F1FF0"/>
    <w:rsid w:val="009F363B"/>
    <w:rsid w:val="009F37E1"/>
    <w:rsid w:val="009F42D6"/>
    <w:rsid w:val="009F5568"/>
    <w:rsid w:val="009F6205"/>
    <w:rsid w:val="009F6289"/>
    <w:rsid w:val="009F669E"/>
    <w:rsid w:val="009F6DC8"/>
    <w:rsid w:val="009F727E"/>
    <w:rsid w:val="009F73D1"/>
    <w:rsid w:val="009F73F4"/>
    <w:rsid w:val="009F768F"/>
    <w:rsid w:val="009F789B"/>
    <w:rsid w:val="00A00192"/>
    <w:rsid w:val="00A011C8"/>
    <w:rsid w:val="00A01343"/>
    <w:rsid w:val="00A01EC2"/>
    <w:rsid w:val="00A01FE1"/>
    <w:rsid w:val="00A024D7"/>
    <w:rsid w:val="00A0359F"/>
    <w:rsid w:val="00A0360D"/>
    <w:rsid w:val="00A040A4"/>
    <w:rsid w:val="00A0434C"/>
    <w:rsid w:val="00A04DDE"/>
    <w:rsid w:val="00A054BE"/>
    <w:rsid w:val="00A05537"/>
    <w:rsid w:val="00A0578E"/>
    <w:rsid w:val="00A05B8E"/>
    <w:rsid w:val="00A05C04"/>
    <w:rsid w:val="00A06CB5"/>
    <w:rsid w:val="00A108E7"/>
    <w:rsid w:val="00A1105F"/>
    <w:rsid w:val="00A1124E"/>
    <w:rsid w:val="00A11592"/>
    <w:rsid w:val="00A119A6"/>
    <w:rsid w:val="00A119EE"/>
    <w:rsid w:val="00A120AB"/>
    <w:rsid w:val="00A124B1"/>
    <w:rsid w:val="00A126E0"/>
    <w:rsid w:val="00A12868"/>
    <w:rsid w:val="00A136A4"/>
    <w:rsid w:val="00A13B4E"/>
    <w:rsid w:val="00A13D94"/>
    <w:rsid w:val="00A14A9E"/>
    <w:rsid w:val="00A15BBD"/>
    <w:rsid w:val="00A15D77"/>
    <w:rsid w:val="00A15F48"/>
    <w:rsid w:val="00A162AB"/>
    <w:rsid w:val="00A16711"/>
    <w:rsid w:val="00A167D7"/>
    <w:rsid w:val="00A16994"/>
    <w:rsid w:val="00A16D87"/>
    <w:rsid w:val="00A1772A"/>
    <w:rsid w:val="00A17839"/>
    <w:rsid w:val="00A17CFC"/>
    <w:rsid w:val="00A17FA0"/>
    <w:rsid w:val="00A20214"/>
    <w:rsid w:val="00A20D69"/>
    <w:rsid w:val="00A210D5"/>
    <w:rsid w:val="00A21534"/>
    <w:rsid w:val="00A219EB"/>
    <w:rsid w:val="00A2272C"/>
    <w:rsid w:val="00A24000"/>
    <w:rsid w:val="00A240B4"/>
    <w:rsid w:val="00A24DB3"/>
    <w:rsid w:val="00A24E79"/>
    <w:rsid w:val="00A2549D"/>
    <w:rsid w:val="00A262CD"/>
    <w:rsid w:val="00A26823"/>
    <w:rsid w:val="00A27C1F"/>
    <w:rsid w:val="00A300A5"/>
    <w:rsid w:val="00A305AE"/>
    <w:rsid w:val="00A30939"/>
    <w:rsid w:val="00A30B9F"/>
    <w:rsid w:val="00A30D78"/>
    <w:rsid w:val="00A30E99"/>
    <w:rsid w:val="00A3131A"/>
    <w:rsid w:val="00A322AF"/>
    <w:rsid w:val="00A323D1"/>
    <w:rsid w:val="00A324B4"/>
    <w:rsid w:val="00A32E79"/>
    <w:rsid w:val="00A33331"/>
    <w:rsid w:val="00A33C32"/>
    <w:rsid w:val="00A33DAF"/>
    <w:rsid w:val="00A34C95"/>
    <w:rsid w:val="00A35E3C"/>
    <w:rsid w:val="00A35F7B"/>
    <w:rsid w:val="00A363C9"/>
    <w:rsid w:val="00A36804"/>
    <w:rsid w:val="00A36917"/>
    <w:rsid w:val="00A36AAE"/>
    <w:rsid w:val="00A37715"/>
    <w:rsid w:val="00A40001"/>
    <w:rsid w:val="00A402D3"/>
    <w:rsid w:val="00A4043D"/>
    <w:rsid w:val="00A40619"/>
    <w:rsid w:val="00A40A91"/>
    <w:rsid w:val="00A4112D"/>
    <w:rsid w:val="00A418CF"/>
    <w:rsid w:val="00A41B05"/>
    <w:rsid w:val="00A42360"/>
    <w:rsid w:val="00A423A4"/>
    <w:rsid w:val="00A424C9"/>
    <w:rsid w:val="00A435EC"/>
    <w:rsid w:val="00A4398F"/>
    <w:rsid w:val="00A43AD5"/>
    <w:rsid w:val="00A43B92"/>
    <w:rsid w:val="00A44084"/>
    <w:rsid w:val="00A44A44"/>
    <w:rsid w:val="00A44A93"/>
    <w:rsid w:val="00A44F8E"/>
    <w:rsid w:val="00A452DC"/>
    <w:rsid w:val="00A4563F"/>
    <w:rsid w:val="00A45AFF"/>
    <w:rsid w:val="00A45DF0"/>
    <w:rsid w:val="00A45E43"/>
    <w:rsid w:val="00A4767E"/>
    <w:rsid w:val="00A479BB"/>
    <w:rsid w:val="00A507A4"/>
    <w:rsid w:val="00A508B2"/>
    <w:rsid w:val="00A50DBB"/>
    <w:rsid w:val="00A51872"/>
    <w:rsid w:val="00A51EE4"/>
    <w:rsid w:val="00A520A5"/>
    <w:rsid w:val="00A521DE"/>
    <w:rsid w:val="00A52450"/>
    <w:rsid w:val="00A52455"/>
    <w:rsid w:val="00A527C9"/>
    <w:rsid w:val="00A52CEA"/>
    <w:rsid w:val="00A53701"/>
    <w:rsid w:val="00A53CF3"/>
    <w:rsid w:val="00A53F62"/>
    <w:rsid w:val="00A5492E"/>
    <w:rsid w:val="00A55A24"/>
    <w:rsid w:val="00A55B56"/>
    <w:rsid w:val="00A55BCA"/>
    <w:rsid w:val="00A55D7E"/>
    <w:rsid w:val="00A562F2"/>
    <w:rsid w:val="00A565C5"/>
    <w:rsid w:val="00A56E27"/>
    <w:rsid w:val="00A57612"/>
    <w:rsid w:val="00A57C10"/>
    <w:rsid w:val="00A57DE5"/>
    <w:rsid w:val="00A6007C"/>
    <w:rsid w:val="00A60752"/>
    <w:rsid w:val="00A60B26"/>
    <w:rsid w:val="00A60E18"/>
    <w:rsid w:val="00A61194"/>
    <w:rsid w:val="00A61B61"/>
    <w:rsid w:val="00A6205C"/>
    <w:rsid w:val="00A62533"/>
    <w:rsid w:val="00A626DA"/>
    <w:rsid w:val="00A62A4C"/>
    <w:rsid w:val="00A62EAE"/>
    <w:rsid w:val="00A6308E"/>
    <w:rsid w:val="00A651E1"/>
    <w:rsid w:val="00A65573"/>
    <w:rsid w:val="00A655EC"/>
    <w:rsid w:val="00A65772"/>
    <w:rsid w:val="00A669AD"/>
    <w:rsid w:val="00A66AC9"/>
    <w:rsid w:val="00A67465"/>
    <w:rsid w:val="00A70495"/>
    <w:rsid w:val="00A70650"/>
    <w:rsid w:val="00A70995"/>
    <w:rsid w:val="00A70BF0"/>
    <w:rsid w:val="00A70E48"/>
    <w:rsid w:val="00A71130"/>
    <w:rsid w:val="00A71299"/>
    <w:rsid w:val="00A71317"/>
    <w:rsid w:val="00A7144F"/>
    <w:rsid w:val="00A714A5"/>
    <w:rsid w:val="00A71D69"/>
    <w:rsid w:val="00A721B6"/>
    <w:rsid w:val="00A7245D"/>
    <w:rsid w:val="00A72A14"/>
    <w:rsid w:val="00A72C4B"/>
    <w:rsid w:val="00A73BF3"/>
    <w:rsid w:val="00A7419A"/>
    <w:rsid w:val="00A74572"/>
    <w:rsid w:val="00A74A67"/>
    <w:rsid w:val="00A74EF7"/>
    <w:rsid w:val="00A753FB"/>
    <w:rsid w:val="00A7691D"/>
    <w:rsid w:val="00A76EFE"/>
    <w:rsid w:val="00A80ED8"/>
    <w:rsid w:val="00A8103E"/>
    <w:rsid w:val="00A8207A"/>
    <w:rsid w:val="00A82317"/>
    <w:rsid w:val="00A82372"/>
    <w:rsid w:val="00A82A20"/>
    <w:rsid w:val="00A82DD6"/>
    <w:rsid w:val="00A83447"/>
    <w:rsid w:val="00A8397F"/>
    <w:rsid w:val="00A840B3"/>
    <w:rsid w:val="00A84429"/>
    <w:rsid w:val="00A846FA"/>
    <w:rsid w:val="00A8480C"/>
    <w:rsid w:val="00A84B5D"/>
    <w:rsid w:val="00A85A4F"/>
    <w:rsid w:val="00A85AD3"/>
    <w:rsid w:val="00A86A2F"/>
    <w:rsid w:val="00A870E2"/>
    <w:rsid w:val="00A87218"/>
    <w:rsid w:val="00A877D7"/>
    <w:rsid w:val="00A87AB0"/>
    <w:rsid w:val="00A90638"/>
    <w:rsid w:val="00A9063A"/>
    <w:rsid w:val="00A9094B"/>
    <w:rsid w:val="00A909AC"/>
    <w:rsid w:val="00A90B12"/>
    <w:rsid w:val="00A90B94"/>
    <w:rsid w:val="00A90C29"/>
    <w:rsid w:val="00A9119A"/>
    <w:rsid w:val="00A9143E"/>
    <w:rsid w:val="00A91480"/>
    <w:rsid w:val="00A91C25"/>
    <w:rsid w:val="00A91D9D"/>
    <w:rsid w:val="00A91E24"/>
    <w:rsid w:val="00A92028"/>
    <w:rsid w:val="00A923C9"/>
    <w:rsid w:val="00A92A5B"/>
    <w:rsid w:val="00A92F16"/>
    <w:rsid w:val="00A937FA"/>
    <w:rsid w:val="00A93D0C"/>
    <w:rsid w:val="00A93E49"/>
    <w:rsid w:val="00A93FA0"/>
    <w:rsid w:val="00A945F1"/>
    <w:rsid w:val="00A94D45"/>
    <w:rsid w:val="00A951DC"/>
    <w:rsid w:val="00A9524D"/>
    <w:rsid w:val="00A954DA"/>
    <w:rsid w:val="00A95C55"/>
    <w:rsid w:val="00A95FFC"/>
    <w:rsid w:val="00A96363"/>
    <w:rsid w:val="00A96C50"/>
    <w:rsid w:val="00A9706D"/>
    <w:rsid w:val="00A9735D"/>
    <w:rsid w:val="00A97A76"/>
    <w:rsid w:val="00A97CFB"/>
    <w:rsid w:val="00A97F8F"/>
    <w:rsid w:val="00AA040B"/>
    <w:rsid w:val="00AA25A5"/>
    <w:rsid w:val="00AA264E"/>
    <w:rsid w:val="00AA26F5"/>
    <w:rsid w:val="00AA3299"/>
    <w:rsid w:val="00AA40A9"/>
    <w:rsid w:val="00AA4142"/>
    <w:rsid w:val="00AA4625"/>
    <w:rsid w:val="00AA46F7"/>
    <w:rsid w:val="00AA4B02"/>
    <w:rsid w:val="00AA5764"/>
    <w:rsid w:val="00AA5833"/>
    <w:rsid w:val="00AA58EE"/>
    <w:rsid w:val="00AA5C93"/>
    <w:rsid w:val="00AA6537"/>
    <w:rsid w:val="00AB0255"/>
    <w:rsid w:val="00AB0314"/>
    <w:rsid w:val="00AB044B"/>
    <w:rsid w:val="00AB0636"/>
    <w:rsid w:val="00AB08C8"/>
    <w:rsid w:val="00AB0A45"/>
    <w:rsid w:val="00AB0BAB"/>
    <w:rsid w:val="00AB216A"/>
    <w:rsid w:val="00AB2B3A"/>
    <w:rsid w:val="00AB34E3"/>
    <w:rsid w:val="00AB38B0"/>
    <w:rsid w:val="00AB4143"/>
    <w:rsid w:val="00AB4734"/>
    <w:rsid w:val="00AB4749"/>
    <w:rsid w:val="00AB49B5"/>
    <w:rsid w:val="00AB4DF8"/>
    <w:rsid w:val="00AB4F75"/>
    <w:rsid w:val="00AB5045"/>
    <w:rsid w:val="00AB5495"/>
    <w:rsid w:val="00AB5B40"/>
    <w:rsid w:val="00AB5C6F"/>
    <w:rsid w:val="00AB608B"/>
    <w:rsid w:val="00AB63D4"/>
    <w:rsid w:val="00AB653F"/>
    <w:rsid w:val="00AB674A"/>
    <w:rsid w:val="00AB69A3"/>
    <w:rsid w:val="00AB78C0"/>
    <w:rsid w:val="00AB7B90"/>
    <w:rsid w:val="00AB7C7E"/>
    <w:rsid w:val="00AC02A2"/>
    <w:rsid w:val="00AC0E29"/>
    <w:rsid w:val="00AC152B"/>
    <w:rsid w:val="00AC15F7"/>
    <w:rsid w:val="00AC1CA6"/>
    <w:rsid w:val="00AC1FD0"/>
    <w:rsid w:val="00AC23FF"/>
    <w:rsid w:val="00AC30B3"/>
    <w:rsid w:val="00AC34AB"/>
    <w:rsid w:val="00AC35D9"/>
    <w:rsid w:val="00AC377E"/>
    <w:rsid w:val="00AC37D4"/>
    <w:rsid w:val="00AC3DEC"/>
    <w:rsid w:val="00AC4245"/>
    <w:rsid w:val="00AC4283"/>
    <w:rsid w:val="00AC6163"/>
    <w:rsid w:val="00AC628F"/>
    <w:rsid w:val="00AC63B9"/>
    <w:rsid w:val="00AC64BA"/>
    <w:rsid w:val="00AC6620"/>
    <w:rsid w:val="00AC6F6D"/>
    <w:rsid w:val="00AC7459"/>
    <w:rsid w:val="00AC79B6"/>
    <w:rsid w:val="00AD0147"/>
    <w:rsid w:val="00AD0588"/>
    <w:rsid w:val="00AD06B5"/>
    <w:rsid w:val="00AD0CFA"/>
    <w:rsid w:val="00AD0D36"/>
    <w:rsid w:val="00AD11A2"/>
    <w:rsid w:val="00AD127F"/>
    <w:rsid w:val="00AD1383"/>
    <w:rsid w:val="00AD2510"/>
    <w:rsid w:val="00AD33EF"/>
    <w:rsid w:val="00AD384D"/>
    <w:rsid w:val="00AD3BFF"/>
    <w:rsid w:val="00AD4ADD"/>
    <w:rsid w:val="00AD547A"/>
    <w:rsid w:val="00AD5C57"/>
    <w:rsid w:val="00AD5CAA"/>
    <w:rsid w:val="00AD66A0"/>
    <w:rsid w:val="00AD6799"/>
    <w:rsid w:val="00AD7684"/>
    <w:rsid w:val="00AD7BBA"/>
    <w:rsid w:val="00AE03E5"/>
    <w:rsid w:val="00AE32B0"/>
    <w:rsid w:val="00AE343B"/>
    <w:rsid w:val="00AE3753"/>
    <w:rsid w:val="00AE38E1"/>
    <w:rsid w:val="00AE5F33"/>
    <w:rsid w:val="00AE6009"/>
    <w:rsid w:val="00AE644B"/>
    <w:rsid w:val="00AE6FAE"/>
    <w:rsid w:val="00AE71A7"/>
    <w:rsid w:val="00AE7D3D"/>
    <w:rsid w:val="00AF0220"/>
    <w:rsid w:val="00AF0585"/>
    <w:rsid w:val="00AF0E9B"/>
    <w:rsid w:val="00AF10B1"/>
    <w:rsid w:val="00AF1137"/>
    <w:rsid w:val="00AF1B8D"/>
    <w:rsid w:val="00AF1C95"/>
    <w:rsid w:val="00AF21B1"/>
    <w:rsid w:val="00AF23D0"/>
    <w:rsid w:val="00AF2A17"/>
    <w:rsid w:val="00AF2FCC"/>
    <w:rsid w:val="00AF30D7"/>
    <w:rsid w:val="00AF33DC"/>
    <w:rsid w:val="00AF3516"/>
    <w:rsid w:val="00AF583C"/>
    <w:rsid w:val="00AF5968"/>
    <w:rsid w:val="00AF6A4C"/>
    <w:rsid w:val="00AF7D2B"/>
    <w:rsid w:val="00AF7EB7"/>
    <w:rsid w:val="00AF7FF3"/>
    <w:rsid w:val="00B00284"/>
    <w:rsid w:val="00B0095B"/>
    <w:rsid w:val="00B0139D"/>
    <w:rsid w:val="00B01A72"/>
    <w:rsid w:val="00B01EFF"/>
    <w:rsid w:val="00B02765"/>
    <w:rsid w:val="00B02A0E"/>
    <w:rsid w:val="00B02E30"/>
    <w:rsid w:val="00B03BF2"/>
    <w:rsid w:val="00B046A6"/>
    <w:rsid w:val="00B04886"/>
    <w:rsid w:val="00B04B4D"/>
    <w:rsid w:val="00B05D72"/>
    <w:rsid w:val="00B060D7"/>
    <w:rsid w:val="00B072C8"/>
    <w:rsid w:val="00B074B2"/>
    <w:rsid w:val="00B07D99"/>
    <w:rsid w:val="00B102C5"/>
    <w:rsid w:val="00B110CF"/>
    <w:rsid w:val="00B1210A"/>
    <w:rsid w:val="00B121F8"/>
    <w:rsid w:val="00B1231D"/>
    <w:rsid w:val="00B125AA"/>
    <w:rsid w:val="00B12D38"/>
    <w:rsid w:val="00B12F77"/>
    <w:rsid w:val="00B13EE1"/>
    <w:rsid w:val="00B146A5"/>
    <w:rsid w:val="00B1498E"/>
    <w:rsid w:val="00B14D23"/>
    <w:rsid w:val="00B15259"/>
    <w:rsid w:val="00B1527C"/>
    <w:rsid w:val="00B1612D"/>
    <w:rsid w:val="00B1614D"/>
    <w:rsid w:val="00B16602"/>
    <w:rsid w:val="00B16612"/>
    <w:rsid w:val="00B16E81"/>
    <w:rsid w:val="00B16F7E"/>
    <w:rsid w:val="00B176A3"/>
    <w:rsid w:val="00B17811"/>
    <w:rsid w:val="00B201CC"/>
    <w:rsid w:val="00B2054B"/>
    <w:rsid w:val="00B2149F"/>
    <w:rsid w:val="00B216A3"/>
    <w:rsid w:val="00B219CE"/>
    <w:rsid w:val="00B22548"/>
    <w:rsid w:val="00B22D8C"/>
    <w:rsid w:val="00B236E7"/>
    <w:rsid w:val="00B23801"/>
    <w:rsid w:val="00B238BE"/>
    <w:rsid w:val="00B239E6"/>
    <w:rsid w:val="00B23B8B"/>
    <w:rsid w:val="00B25207"/>
    <w:rsid w:val="00B257E3"/>
    <w:rsid w:val="00B259A1"/>
    <w:rsid w:val="00B25A2F"/>
    <w:rsid w:val="00B269D2"/>
    <w:rsid w:val="00B26D0E"/>
    <w:rsid w:val="00B27DF6"/>
    <w:rsid w:val="00B303C5"/>
    <w:rsid w:val="00B30B77"/>
    <w:rsid w:val="00B31121"/>
    <w:rsid w:val="00B313B0"/>
    <w:rsid w:val="00B31B2A"/>
    <w:rsid w:val="00B31D36"/>
    <w:rsid w:val="00B32253"/>
    <w:rsid w:val="00B33BE5"/>
    <w:rsid w:val="00B34C3E"/>
    <w:rsid w:val="00B34E64"/>
    <w:rsid w:val="00B3706C"/>
    <w:rsid w:val="00B3736D"/>
    <w:rsid w:val="00B3744F"/>
    <w:rsid w:val="00B41374"/>
    <w:rsid w:val="00B41693"/>
    <w:rsid w:val="00B41F15"/>
    <w:rsid w:val="00B4214C"/>
    <w:rsid w:val="00B427D8"/>
    <w:rsid w:val="00B435BC"/>
    <w:rsid w:val="00B43C2F"/>
    <w:rsid w:val="00B442DA"/>
    <w:rsid w:val="00B44E6C"/>
    <w:rsid w:val="00B45EB2"/>
    <w:rsid w:val="00B45F91"/>
    <w:rsid w:val="00B46A5E"/>
    <w:rsid w:val="00B46FEA"/>
    <w:rsid w:val="00B471E6"/>
    <w:rsid w:val="00B478E8"/>
    <w:rsid w:val="00B47E13"/>
    <w:rsid w:val="00B47EAE"/>
    <w:rsid w:val="00B52184"/>
    <w:rsid w:val="00B52313"/>
    <w:rsid w:val="00B52836"/>
    <w:rsid w:val="00B52FB2"/>
    <w:rsid w:val="00B541F6"/>
    <w:rsid w:val="00B55668"/>
    <w:rsid w:val="00B55E3C"/>
    <w:rsid w:val="00B56479"/>
    <w:rsid w:val="00B56635"/>
    <w:rsid w:val="00B56779"/>
    <w:rsid w:val="00B56CF3"/>
    <w:rsid w:val="00B574D6"/>
    <w:rsid w:val="00B57885"/>
    <w:rsid w:val="00B60715"/>
    <w:rsid w:val="00B60F2E"/>
    <w:rsid w:val="00B60FB6"/>
    <w:rsid w:val="00B612F0"/>
    <w:rsid w:val="00B61446"/>
    <w:rsid w:val="00B61563"/>
    <w:rsid w:val="00B61BB3"/>
    <w:rsid w:val="00B63F49"/>
    <w:rsid w:val="00B640F2"/>
    <w:rsid w:val="00B64694"/>
    <w:rsid w:val="00B66431"/>
    <w:rsid w:val="00B66F7D"/>
    <w:rsid w:val="00B67015"/>
    <w:rsid w:val="00B67335"/>
    <w:rsid w:val="00B675C1"/>
    <w:rsid w:val="00B701E2"/>
    <w:rsid w:val="00B703C5"/>
    <w:rsid w:val="00B708FB"/>
    <w:rsid w:val="00B70C41"/>
    <w:rsid w:val="00B70F64"/>
    <w:rsid w:val="00B7121A"/>
    <w:rsid w:val="00B71228"/>
    <w:rsid w:val="00B7170B"/>
    <w:rsid w:val="00B723E1"/>
    <w:rsid w:val="00B72585"/>
    <w:rsid w:val="00B7323D"/>
    <w:rsid w:val="00B733CF"/>
    <w:rsid w:val="00B739E4"/>
    <w:rsid w:val="00B73B2D"/>
    <w:rsid w:val="00B73F09"/>
    <w:rsid w:val="00B74148"/>
    <w:rsid w:val="00B7416D"/>
    <w:rsid w:val="00B74383"/>
    <w:rsid w:val="00B74555"/>
    <w:rsid w:val="00B75345"/>
    <w:rsid w:val="00B75C3C"/>
    <w:rsid w:val="00B76963"/>
    <w:rsid w:val="00B76F0A"/>
    <w:rsid w:val="00B77ABC"/>
    <w:rsid w:val="00B77DE0"/>
    <w:rsid w:val="00B80090"/>
    <w:rsid w:val="00B800D2"/>
    <w:rsid w:val="00B80651"/>
    <w:rsid w:val="00B807AA"/>
    <w:rsid w:val="00B80994"/>
    <w:rsid w:val="00B8132B"/>
    <w:rsid w:val="00B816A8"/>
    <w:rsid w:val="00B81BC7"/>
    <w:rsid w:val="00B82177"/>
    <w:rsid w:val="00B822CA"/>
    <w:rsid w:val="00B83204"/>
    <w:rsid w:val="00B83847"/>
    <w:rsid w:val="00B843A0"/>
    <w:rsid w:val="00B84623"/>
    <w:rsid w:val="00B84827"/>
    <w:rsid w:val="00B865C0"/>
    <w:rsid w:val="00B86958"/>
    <w:rsid w:val="00B86C63"/>
    <w:rsid w:val="00B86DCF"/>
    <w:rsid w:val="00B87A70"/>
    <w:rsid w:val="00B87C60"/>
    <w:rsid w:val="00B900F3"/>
    <w:rsid w:val="00B9015E"/>
    <w:rsid w:val="00B902D3"/>
    <w:rsid w:val="00B912CE"/>
    <w:rsid w:val="00B919DA"/>
    <w:rsid w:val="00B91A4D"/>
    <w:rsid w:val="00B92629"/>
    <w:rsid w:val="00B92E44"/>
    <w:rsid w:val="00B932CE"/>
    <w:rsid w:val="00B93DA6"/>
    <w:rsid w:val="00B93F15"/>
    <w:rsid w:val="00B93FB5"/>
    <w:rsid w:val="00B94AF6"/>
    <w:rsid w:val="00B95739"/>
    <w:rsid w:val="00B9581E"/>
    <w:rsid w:val="00B958C7"/>
    <w:rsid w:val="00B9596C"/>
    <w:rsid w:val="00B95B54"/>
    <w:rsid w:val="00B95DE1"/>
    <w:rsid w:val="00B95FD4"/>
    <w:rsid w:val="00B96943"/>
    <w:rsid w:val="00B96D19"/>
    <w:rsid w:val="00B9767E"/>
    <w:rsid w:val="00B979F3"/>
    <w:rsid w:val="00B97EEE"/>
    <w:rsid w:val="00BA145D"/>
    <w:rsid w:val="00BA1B4E"/>
    <w:rsid w:val="00BA1E32"/>
    <w:rsid w:val="00BA2812"/>
    <w:rsid w:val="00BA30DC"/>
    <w:rsid w:val="00BA348F"/>
    <w:rsid w:val="00BA35DA"/>
    <w:rsid w:val="00BA36D3"/>
    <w:rsid w:val="00BA3D82"/>
    <w:rsid w:val="00BA3F18"/>
    <w:rsid w:val="00BA431B"/>
    <w:rsid w:val="00BA478E"/>
    <w:rsid w:val="00BA5724"/>
    <w:rsid w:val="00BA577E"/>
    <w:rsid w:val="00BA6D8F"/>
    <w:rsid w:val="00BA7DCB"/>
    <w:rsid w:val="00BB002B"/>
    <w:rsid w:val="00BB152B"/>
    <w:rsid w:val="00BB15DE"/>
    <w:rsid w:val="00BB15F0"/>
    <w:rsid w:val="00BB16A5"/>
    <w:rsid w:val="00BB25A0"/>
    <w:rsid w:val="00BB2D5D"/>
    <w:rsid w:val="00BB3BEC"/>
    <w:rsid w:val="00BB4088"/>
    <w:rsid w:val="00BB53DC"/>
    <w:rsid w:val="00BB596B"/>
    <w:rsid w:val="00BB5A66"/>
    <w:rsid w:val="00BB5B43"/>
    <w:rsid w:val="00BB6012"/>
    <w:rsid w:val="00BB637C"/>
    <w:rsid w:val="00BB7169"/>
    <w:rsid w:val="00BB75B0"/>
    <w:rsid w:val="00BB769E"/>
    <w:rsid w:val="00BC002B"/>
    <w:rsid w:val="00BC0CBD"/>
    <w:rsid w:val="00BC116B"/>
    <w:rsid w:val="00BC144F"/>
    <w:rsid w:val="00BC1D46"/>
    <w:rsid w:val="00BC22A6"/>
    <w:rsid w:val="00BC2598"/>
    <w:rsid w:val="00BC2D3C"/>
    <w:rsid w:val="00BC352D"/>
    <w:rsid w:val="00BC3D67"/>
    <w:rsid w:val="00BC3EBE"/>
    <w:rsid w:val="00BC4857"/>
    <w:rsid w:val="00BC4979"/>
    <w:rsid w:val="00BC652C"/>
    <w:rsid w:val="00BC674C"/>
    <w:rsid w:val="00BC7A33"/>
    <w:rsid w:val="00BD027A"/>
    <w:rsid w:val="00BD035C"/>
    <w:rsid w:val="00BD05FA"/>
    <w:rsid w:val="00BD09A7"/>
    <w:rsid w:val="00BD122B"/>
    <w:rsid w:val="00BD2357"/>
    <w:rsid w:val="00BD27A9"/>
    <w:rsid w:val="00BD2DEE"/>
    <w:rsid w:val="00BD3691"/>
    <w:rsid w:val="00BD3CB1"/>
    <w:rsid w:val="00BD534C"/>
    <w:rsid w:val="00BD579E"/>
    <w:rsid w:val="00BD63FB"/>
    <w:rsid w:val="00BD64EB"/>
    <w:rsid w:val="00BD7B21"/>
    <w:rsid w:val="00BD7C62"/>
    <w:rsid w:val="00BD7FC6"/>
    <w:rsid w:val="00BE0FC3"/>
    <w:rsid w:val="00BE17FB"/>
    <w:rsid w:val="00BE1C87"/>
    <w:rsid w:val="00BE1C99"/>
    <w:rsid w:val="00BE20CD"/>
    <w:rsid w:val="00BE23D4"/>
    <w:rsid w:val="00BE3191"/>
    <w:rsid w:val="00BE31C3"/>
    <w:rsid w:val="00BE3B56"/>
    <w:rsid w:val="00BE474F"/>
    <w:rsid w:val="00BE47C2"/>
    <w:rsid w:val="00BE48D5"/>
    <w:rsid w:val="00BE4DBA"/>
    <w:rsid w:val="00BE4DF8"/>
    <w:rsid w:val="00BE4E04"/>
    <w:rsid w:val="00BE56A3"/>
    <w:rsid w:val="00BE57CA"/>
    <w:rsid w:val="00BE7359"/>
    <w:rsid w:val="00BE782E"/>
    <w:rsid w:val="00BE7880"/>
    <w:rsid w:val="00BF028F"/>
    <w:rsid w:val="00BF11AB"/>
    <w:rsid w:val="00BF1411"/>
    <w:rsid w:val="00BF1BA8"/>
    <w:rsid w:val="00BF1E34"/>
    <w:rsid w:val="00BF1ECE"/>
    <w:rsid w:val="00BF260A"/>
    <w:rsid w:val="00BF35E8"/>
    <w:rsid w:val="00BF4948"/>
    <w:rsid w:val="00BF494F"/>
    <w:rsid w:val="00BF4E69"/>
    <w:rsid w:val="00BF572A"/>
    <w:rsid w:val="00BF5AAD"/>
    <w:rsid w:val="00BF628C"/>
    <w:rsid w:val="00BF711C"/>
    <w:rsid w:val="00BF73C4"/>
    <w:rsid w:val="00BF7510"/>
    <w:rsid w:val="00BF7667"/>
    <w:rsid w:val="00BF7C85"/>
    <w:rsid w:val="00BF7D53"/>
    <w:rsid w:val="00C00897"/>
    <w:rsid w:val="00C01620"/>
    <w:rsid w:val="00C01740"/>
    <w:rsid w:val="00C01913"/>
    <w:rsid w:val="00C019B4"/>
    <w:rsid w:val="00C01A8E"/>
    <w:rsid w:val="00C0203C"/>
    <w:rsid w:val="00C02614"/>
    <w:rsid w:val="00C02834"/>
    <w:rsid w:val="00C02C1E"/>
    <w:rsid w:val="00C02E33"/>
    <w:rsid w:val="00C02F3D"/>
    <w:rsid w:val="00C030E8"/>
    <w:rsid w:val="00C03130"/>
    <w:rsid w:val="00C0337A"/>
    <w:rsid w:val="00C0404A"/>
    <w:rsid w:val="00C04795"/>
    <w:rsid w:val="00C04969"/>
    <w:rsid w:val="00C057F3"/>
    <w:rsid w:val="00C0654B"/>
    <w:rsid w:val="00C06A20"/>
    <w:rsid w:val="00C10156"/>
    <w:rsid w:val="00C10568"/>
    <w:rsid w:val="00C11B0D"/>
    <w:rsid w:val="00C12656"/>
    <w:rsid w:val="00C15397"/>
    <w:rsid w:val="00C15F12"/>
    <w:rsid w:val="00C161D4"/>
    <w:rsid w:val="00C1653B"/>
    <w:rsid w:val="00C16986"/>
    <w:rsid w:val="00C16D5F"/>
    <w:rsid w:val="00C17A34"/>
    <w:rsid w:val="00C20E65"/>
    <w:rsid w:val="00C21C1D"/>
    <w:rsid w:val="00C22924"/>
    <w:rsid w:val="00C22DE5"/>
    <w:rsid w:val="00C23443"/>
    <w:rsid w:val="00C2357A"/>
    <w:rsid w:val="00C235EF"/>
    <w:rsid w:val="00C23AD7"/>
    <w:rsid w:val="00C23D88"/>
    <w:rsid w:val="00C24605"/>
    <w:rsid w:val="00C24F0E"/>
    <w:rsid w:val="00C256EA"/>
    <w:rsid w:val="00C25B8A"/>
    <w:rsid w:val="00C25F02"/>
    <w:rsid w:val="00C2617F"/>
    <w:rsid w:val="00C26B42"/>
    <w:rsid w:val="00C26FEC"/>
    <w:rsid w:val="00C27247"/>
    <w:rsid w:val="00C30392"/>
    <w:rsid w:val="00C30B8C"/>
    <w:rsid w:val="00C30CFF"/>
    <w:rsid w:val="00C30D58"/>
    <w:rsid w:val="00C32111"/>
    <w:rsid w:val="00C32436"/>
    <w:rsid w:val="00C327CB"/>
    <w:rsid w:val="00C3280E"/>
    <w:rsid w:val="00C33065"/>
    <w:rsid w:val="00C334CE"/>
    <w:rsid w:val="00C3418B"/>
    <w:rsid w:val="00C34191"/>
    <w:rsid w:val="00C341AA"/>
    <w:rsid w:val="00C34AFD"/>
    <w:rsid w:val="00C34BC7"/>
    <w:rsid w:val="00C34E53"/>
    <w:rsid w:val="00C34E7D"/>
    <w:rsid w:val="00C35308"/>
    <w:rsid w:val="00C35EEB"/>
    <w:rsid w:val="00C36264"/>
    <w:rsid w:val="00C36298"/>
    <w:rsid w:val="00C3657C"/>
    <w:rsid w:val="00C36C3A"/>
    <w:rsid w:val="00C37097"/>
    <w:rsid w:val="00C37235"/>
    <w:rsid w:val="00C4068F"/>
    <w:rsid w:val="00C407F4"/>
    <w:rsid w:val="00C40A60"/>
    <w:rsid w:val="00C41955"/>
    <w:rsid w:val="00C42203"/>
    <w:rsid w:val="00C42781"/>
    <w:rsid w:val="00C42AE5"/>
    <w:rsid w:val="00C4330F"/>
    <w:rsid w:val="00C4402D"/>
    <w:rsid w:val="00C44529"/>
    <w:rsid w:val="00C454F2"/>
    <w:rsid w:val="00C46434"/>
    <w:rsid w:val="00C4677F"/>
    <w:rsid w:val="00C46D6E"/>
    <w:rsid w:val="00C4706C"/>
    <w:rsid w:val="00C4726E"/>
    <w:rsid w:val="00C4771D"/>
    <w:rsid w:val="00C479EC"/>
    <w:rsid w:val="00C47D0D"/>
    <w:rsid w:val="00C50159"/>
    <w:rsid w:val="00C50BF9"/>
    <w:rsid w:val="00C52087"/>
    <w:rsid w:val="00C522AE"/>
    <w:rsid w:val="00C52AA4"/>
    <w:rsid w:val="00C537AB"/>
    <w:rsid w:val="00C537F2"/>
    <w:rsid w:val="00C5381A"/>
    <w:rsid w:val="00C539DD"/>
    <w:rsid w:val="00C5418C"/>
    <w:rsid w:val="00C55318"/>
    <w:rsid w:val="00C554B1"/>
    <w:rsid w:val="00C554C0"/>
    <w:rsid w:val="00C55811"/>
    <w:rsid w:val="00C55E98"/>
    <w:rsid w:val="00C56198"/>
    <w:rsid w:val="00C563D0"/>
    <w:rsid w:val="00C565BC"/>
    <w:rsid w:val="00C56646"/>
    <w:rsid w:val="00C56A32"/>
    <w:rsid w:val="00C57404"/>
    <w:rsid w:val="00C6074B"/>
    <w:rsid w:val="00C607B5"/>
    <w:rsid w:val="00C608F8"/>
    <w:rsid w:val="00C60BAE"/>
    <w:rsid w:val="00C6117B"/>
    <w:rsid w:val="00C6185F"/>
    <w:rsid w:val="00C61B8C"/>
    <w:rsid w:val="00C61BCD"/>
    <w:rsid w:val="00C63619"/>
    <w:rsid w:val="00C63801"/>
    <w:rsid w:val="00C6392A"/>
    <w:rsid w:val="00C63CBB"/>
    <w:rsid w:val="00C63EA5"/>
    <w:rsid w:val="00C64CCE"/>
    <w:rsid w:val="00C64E04"/>
    <w:rsid w:val="00C65804"/>
    <w:rsid w:val="00C65CA2"/>
    <w:rsid w:val="00C66B6B"/>
    <w:rsid w:val="00C66C22"/>
    <w:rsid w:val="00C66FAF"/>
    <w:rsid w:val="00C6798C"/>
    <w:rsid w:val="00C706B8"/>
    <w:rsid w:val="00C70C6A"/>
    <w:rsid w:val="00C715D4"/>
    <w:rsid w:val="00C71C1F"/>
    <w:rsid w:val="00C72103"/>
    <w:rsid w:val="00C7255F"/>
    <w:rsid w:val="00C73F8D"/>
    <w:rsid w:val="00C7424E"/>
    <w:rsid w:val="00C74365"/>
    <w:rsid w:val="00C752C9"/>
    <w:rsid w:val="00C75D64"/>
    <w:rsid w:val="00C7655C"/>
    <w:rsid w:val="00C76594"/>
    <w:rsid w:val="00C767B0"/>
    <w:rsid w:val="00C77802"/>
    <w:rsid w:val="00C77917"/>
    <w:rsid w:val="00C77C5F"/>
    <w:rsid w:val="00C77F8D"/>
    <w:rsid w:val="00C80535"/>
    <w:rsid w:val="00C80846"/>
    <w:rsid w:val="00C80DC7"/>
    <w:rsid w:val="00C82087"/>
    <w:rsid w:val="00C82D9F"/>
    <w:rsid w:val="00C83206"/>
    <w:rsid w:val="00C83F09"/>
    <w:rsid w:val="00C842B8"/>
    <w:rsid w:val="00C84383"/>
    <w:rsid w:val="00C84592"/>
    <w:rsid w:val="00C847E5"/>
    <w:rsid w:val="00C85720"/>
    <w:rsid w:val="00C85807"/>
    <w:rsid w:val="00C8601C"/>
    <w:rsid w:val="00C86190"/>
    <w:rsid w:val="00C865FC"/>
    <w:rsid w:val="00C86658"/>
    <w:rsid w:val="00C86C2F"/>
    <w:rsid w:val="00C86C6D"/>
    <w:rsid w:val="00C86FC5"/>
    <w:rsid w:val="00C87168"/>
    <w:rsid w:val="00C876EA"/>
    <w:rsid w:val="00C900FE"/>
    <w:rsid w:val="00C90BDE"/>
    <w:rsid w:val="00C9197F"/>
    <w:rsid w:val="00C92198"/>
    <w:rsid w:val="00C92F6D"/>
    <w:rsid w:val="00C9377B"/>
    <w:rsid w:val="00C945F7"/>
    <w:rsid w:val="00C9475B"/>
    <w:rsid w:val="00C94D00"/>
    <w:rsid w:val="00C94DE7"/>
    <w:rsid w:val="00C94EB8"/>
    <w:rsid w:val="00C95261"/>
    <w:rsid w:val="00C953B5"/>
    <w:rsid w:val="00C954DB"/>
    <w:rsid w:val="00C95AE4"/>
    <w:rsid w:val="00C95BF7"/>
    <w:rsid w:val="00C96668"/>
    <w:rsid w:val="00C9666F"/>
    <w:rsid w:val="00C972C0"/>
    <w:rsid w:val="00C97876"/>
    <w:rsid w:val="00C978D2"/>
    <w:rsid w:val="00CA01AD"/>
    <w:rsid w:val="00CA0EEA"/>
    <w:rsid w:val="00CA2171"/>
    <w:rsid w:val="00CA29E7"/>
    <w:rsid w:val="00CA2DF9"/>
    <w:rsid w:val="00CA33AB"/>
    <w:rsid w:val="00CA3EB7"/>
    <w:rsid w:val="00CA4228"/>
    <w:rsid w:val="00CA4656"/>
    <w:rsid w:val="00CA4682"/>
    <w:rsid w:val="00CA4FF9"/>
    <w:rsid w:val="00CA52A6"/>
    <w:rsid w:val="00CA5924"/>
    <w:rsid w:val="00CA5C85"/>
    <w:rsid w:val="00CA6844"/>
    <w:rsid w:val="00CA6E7B"/>
    <w:rsid w:val="00CA6E9F"/>
    <w:rsid w:val="00CA7821"/>
    <w:rsid w:val="00CB069C"/>
    <w:rsid w:val="00CB0969"/>
    <w:rsid w:val="00CB0CB3"/>
    <w:rsid w:val="00CB18B1"/>
    <w:rsid w:val="00CB264D"/>
    <w:rsid w:val="00CB2E2F"/>
    <w:rsid w:val="00CB2FF1"/>
    <w:rsid w:val="00CB31BB"/>
    <w:rsid w:val="00CB33D5"/>
    <w:rsid w:val="00CB3B2C"/>
    <w:rsid w:val="00CB3FAB"/>
    <w:rsid w:val="00CB426F"/>
    <w:rsid w:val="00CB51E8"/>
    <w:rsid w:val="00CB5583"/>
    <w:rsid w:val="00CB5C6F"/>
    <w:rsid w:val="00CB5CB9"/>
    <w:rsid w:val="00CB6C21"/>
    <w:rsid w:val="00CB7140"/>
    <w:rsid w:val="00CB7497"/>
    <w:rsid w:val="00CB7529"/>
    <w:rsid w:val="00CC17F6"/>
    <w:rsid w:val="00CC195B"/>
    <w:rsid w:val="00CC2375"/>
    <w:rsid w:val="00CC2947"/>
    <w:rsid w:val="00CC31ED"/>
    <w:rsid w:val="00CC339B"/>
    <w:rsid w:val="00CC3643"/>
    <w:rsid w:val="00CC382F"/>
    <w:rsid w:val="00CC43FF"/>
    <w:rsid w:val="00CC4E0D"/>
    <w:rsid w:val="00CC565A"/>
    <w:rsid w:val="00CC642F"/>
    <w:rsid w:val="00CC6D0C"/>
    <w:rsid w:val="00CC6FCE"/>
    <w:rsid w:val="00CC73EF"/>
    <w:rsid w:val="00CC74F4"/>
    <w:rsid w:val="00CC7551"/>
    <w:rsid w:val="00CC7762"/>
    <w:rsid w:val="00CC79A9"/>
    <w:rsid w:val="00CD0326"/>
    <w:rsid w:val="00CD0621"/>
    <w:rsid w:val="00CD089C"/>
    <w:rsid w:val="00CD08A8"/>
    <w:rsid w:val="00CD1004"/>
    <w:rsid w:val="00CD1A00"/>
    <w:rsid w:val="00CD2229"/>
    <w:rsid w:val="00CD2265"/>
    <w:rsid w:val="00CD2B8D"/>
    <w:rsid w:val="00CD2C3B"/>
    <w:rsid w:val="00CD36E6"/>
    <w:rsid w:val="00CD3922"/>
    <w:rsid w:val="00CD43C0"/>
    <w:rsid w:val="00CD4872"/>
    <w:rsid w:val="00CD4BE6"/>
    <w:rsid w:val="00CD4C12"/>
    <w:rsid w:val="00CD578F"/>
    <w:rsid w:val="00CD59D6"/>
    <w:rsid w:val="00CD5B11"/>
    <w:rsid w:val="00CD5BF6"/>
    <w:rsid w:val="00CD6678"/>
    <w:rsid w:val="00CD6A12"/>
    <w:rsid w:val="00CD6AEA"/>
    <w:rsid w:val="00CD7E7A"/>
    <w:rsid w:val="00CE04FC"/>
    <w:rsid w:val="00CE070D"/>
    <w:rsid w:val="00CE1029"/>
    <w:rsid w:val="00CE1749"/>
    <w:rsid w:val="00CE1769"/>
    <w:rsid w:val="00CE1A95"/>
    <w:rsid w:val="00CE1B64"/>
    <w:rsid w:val="00CE289E"/>
    <w:rsid w:val="00CE292E"/>
    <w:rsid w:val="00CE4CC1"/>
    <w:rsid w:val="00CE6740"/>
    <w:rsid w:val="00CE7F76"/>
    <w:rsid w:val="00CF0034"/>
    <w:rsid w:val="00CF0982"/>
    <w:rsid w:val="00CF10D7"/>
    <w:rsid w:val="00CF1259"/>
    <w:rsid w:val="00CF1647"/>
    <w:rsid w:val="00CF1DB3"/>
    <w:rsid w:val="00CF2334"/>
    <w:rsid w:val="00CF4911"/>
    <w:rsid w:val="00CF4DBC"/>
    <w:rsid w:val="00CF58E4"/>
    <w:rsid w:val="00CF5A9E"/>
    <w:rsid w:val="00CF5B4D"/>
    <w:rsid w:val="00CF633F"/>
    <w:rsid w:val="00CF6354"/>
    <w:rsid w:val="00CF6440"/>
    <w:rsid w:val="00CF6D75"/>
    <w:rsid w:val="00CF6FEC"/>
    <w:rsid w:val="00CF7360"/>
    <w:rsid w:val="00CF7B9F"/>
    <w:rsid w:val="00D0150F"/>
    <w:rsid w:val="00D01EA9"/>
    <w:rsid w:val="00D01F30"/>
    <w:rsid w:val="00D02680"/>
    <w:rsid w:val="00D03116"/>
    <w:rsid w:val="00D0314A"/>
    <w:rsid w:val="00D0350A"/>
    <w:rsid w:val="00D0362D"/>
    <w:rsid w:val="00D04127"/>
    <w:rsid w:val="00D046FA"/>
    <w:rsid w:val="00D047E5"/>
    <w:rsid w:val="00D04DDD"/>
    <w:rsid w:val="00D04DF7"/>
    <w:rsid w:val="00D0507F"/>
    <w:rsid w:val="00D05962"/>
    <w:rsid w:val="00D05988"/>
    <w:rsid w:val="00D05DA5"/>
    <w:rsid w:val="00D0604D"/>
    <w:rsid w:val="00D06357"/>
    <w:rsid w:val="00D067BC"/>
    <w:rsid w:val="00D06BCC"/>
    <w:rsid w:val="00D075FD"/>
    <w:rsid w:val="00D07696"/>
    <w:rsid w:val="00D07CC2"/>
    <w:rsid w:val="00D1013D"/>
    <w:rsid w:val="00D11305"/>
    <w:rsid w:val="00D12087"/>
    <w:rsid w:val="00D1222F"/>
    <w:rsid w:val="00D12FA2"/>
    <w:rsid w:val="00D1489A"/>
    <w:rsid w:val="00D14FC1"/>
    <w:rsid w:val="00D16264"/>
    <w:rsid w:val="00D162CF"/>
    <w:rsid w:val="00D16633"/>
    <w:rsid w:val="00D16E00"/>
    <w:rsid w:val="00D175E4"/>
    <w:rsid w:val="00D17636"/>
    <w:rsid w:val="00D1766D"/>
    <w:rsid w:val="00D20533"/>
    <w:rsid w:val="00D20AA6"/>
    <w:rsid w:val="00D20C5E"/>
    <w:rsid w:val="00D2169C"/>
    <w:rsid w:val="00D217CE"/>
    <w:rsid w:val="00D22568"/>
    <w:rsid w:val="00D22814"/>
    <w:rsid w:val="00D228A6"/>
    <w:rsid w:val="00D22D10"/>
    <w:rsid w:val="00D22E61"/>
    <w:rsid w:val="00D2400A"/>
    <w:rsid w:val="00D24595"/>
    <w:rsid w:val="00D2551A"/>
    <w:rsid w:val="00D25777"/>
    <w:rsid w:val="00D25AC4"/>
    <w:rsid w:val="00D25BB7"/>
    <w:rsid w:val="00D2685D"/>
    <w:rsid w:val="00D30106"/>
    <w:rsid w:val="00D304B9"/>
    <w:rsid w:val="00D30592"/>
    <w:rsid w:val="00D30940"/>
    <w:rsid w:val="00D30974"/>
    <w:rsid w:val="00D31514"/>
    <w:rsid w:val="00D320CF"/>
    <w:rsid w:val="00D32CB1"/>
    <w:rsid w:val="00D3335C"/>
    <w:rsid w:val="00D33BA7"/>
    <w:rsid w:val="00D34343"/>
    <w:rsid w:val="00D34617"/>
    <w:rsid w:val="00D3509E"/>
    <w:rsid w:val="00D35D54"/>
    <w:rsid w:val="00D36E0E"/>
    <w:rsid w:val="00D378EC"/>
    <w:rsid w:val="00D37D49"/>
    <w:rsid w:val="00D4003A"/>
    <w:rsid w:val="00D40271"/>
    <w:rsid w:val="00D408E4"/>
    <w:rsid w:val="00D4118A"/>
    <w:rsid w:val="00D41A08"/>
    <w:rsid w:val="00D41DB8"/>
    <w:rsid w:val="00D425EA"/>
    <w:rsid w:val="00D43137"/>
    <w:rsid w:val="00D43455"/>
    <w:rsid w:val="00D43DF3"/>
    <w:rsid w:val="00D44CCC"/>
    <w:rsid w:val="00D44D16"/>
    <w:rsid w:val="00D44F31"/>
    <w:rsid w:val="00D45853"/>
    <w:rsid w:val="00D45E63"/>
    <w:rsid w:val="00D45EDD"/>
    <w:rsid w:val="00D45FEF"/>
    <w:rsid w:val="00D4633D"/>
    <w:rsid w:val="00D464FB"/>
    <w:rsid w:val="00D4712F"/>
    <w:rsid w:val="00D50F15"/>
    <w:rsid w:val="00D5138F"/>
    <w:rsid w:val="00D518F2"/>
    <w:rsid w:val="00D5242D"/>
    <w:rsid w:val="00D528F2"/>
    <w:rsid w:val="00D52D14"/>
    <w:rsid w:val="00D53357"/>
    <w:rsid w:val="00D5351C"/>
    <w:rsid w:val="00D545EC"/>
    <w:rsid w:val="00D54965"/>
    <w:rsid w:val="00D5553B"/>
    <w:rsid w:val="00D55BE3"/>
    <w:rsid w:val="00D5652F"/>
    <w:rsid w:val="00D5678C"/>
    <w:rsid w:val="00D57457"/>
    <w:rsid w:val="00D57664"/>
    <w:rsid w:val="00D5782C"/>
    <w:rsid w:val="00D57962"/>
    <w:rsid w:val="00D60130"/>
    <w:rsid w:val="00D601E1"/>
    <w:rsid w:val="00D6068C"/>
    <w:rsid w:val="00D60B2E"/>
    <w:rsid w:val="00D60E7E"/>
    <w:rsid w:val="00D615AD"/>
    <w:rsid w:val="00D61C9B"/>
    <w:rsid w:val="00D62196"/>
    <w:rsid w:val="00D6240D"/>
    <w:rsid w:val="00D62601"/>
    <w:rsid w:val="00D62BD5"/>
    <w:rsid w:val="00D642BF"/>
    <w:rsid w:val="00D64EFE"/>
    <w:rsid w:val="00D65408"/>
    <w:rsid w:val="00D65ED5"/>
    <w:rsid w:val="00D6602A"/>
    <w:rsid w:val="00D660A3"/>
    <w:rsid w:val="00D6620D"/>
    <w:rsid w:val="00D66C4A"/>
    <w:rsid w:val="00D6782C"/>
    <w:rsid w:val="00D6785D"/>
    <w:rsid w:val="00D7054C"/>
    <w:rsid w:val="00D7059B"/>
    <w:rsid w:val="00D70D44"/>
    <w:rsid w:val="00D70FF0"/>
    <w:rsid w:val="00D71289"/>
    <w:rsid w:val="00D719F8"/>
    <w:rsid w:val="00D71E34"/>
    <w:rsid w:val="00D7266E"/>
    <w:rsid w:val="00D7284E"/>
    <w:rsid w:val="00D729D8"/>
    <w:rsid w:val="00D733C5"/>
    <w:rsid w:val="00D73615"/>
    <w:rsid w:val="00D75477"/>
    <w:rsid w:val="00D759EA"/>
    <w:rsid w:val="00D75E23"/>
    <w:rsid w:val="00D76964"/>
    <w:rsid w:val="00D76C08"/>
    <w:rsid w:val="00D773E8"/>
    <w:rsid w:val="00D7755F"/>
    <w:rsid w:val="00D77898"/>
    <w:rsid w:val="00D77AFE"/>
    <w:rsid w:val="00D77AFF"/>
    <w:rsid w:val="00D77C1C"/>
    <w:rsid w:val="00D77DF3"/>
    <w:rsid w:val="00D81496"/>
    <w:rsid w:val="00D81D3E"/>
    <w:rsid w:val="00D821FE"/>
    <w:rsid w:val="00D8251B"/>
    <w:rsid w:val="00D834E9"/>
    <w:rsid w:val="00D83870"/>
    <w:rsid w:val="00D838A2"/>
    <w:rsid w:val="00D83A78"/>
    <w:rsid w:val="00D84EDA"/>
    <w:rsid w:val="00D85729"/>
    <w:rsid w:val="00D85846"/>
    <w:rsid w:val="00D85911"/>
    <w:rsid w:val="00D85D0B"/>
    <w:rsid w:val="00D863CD"/>
    <w:rsid w:val="00D87743"/>
    <w:rsid w:val="00D87813"/>
    <w:rsid w:val="00D87BEA"/>
    <w:rsid w:val="00D9061B"/>
    <w:rsid w:val="00D91655"/>
    <w:rsid w:val="00D925AC"/>
    <w:rsid w:val="00D9287A"/>
    <w:rsid w:val="00D928A2"/>
    <w:rsid w:val="00D92A48"/>
    <w:rsid w:val="00D92C9E"/>
    <w:rsid w:val="00D93CB3"/>
    <w:rsid w:val="00D9525A"/>
    <w:rsid w:val="00D95400"/>
    <w:rsid w:val="00D9557A"/>
    <w:rsid w:val="00D95687"/>
    <w:rsid w:val="00D95DC3"/>
    <w:rsid w:val="00D969BB"/>
    <w:rsid w:val="00D96A4C"/>
    <w:rsid w:val="00D978AF"/>
    <w:rsid w:val="00D97993"/>
    <w:rsid w:val="00D97A81"/>
    <w:rsid w:val="00D97C24"/>
    <w:rsid w:val="00D97F75"/>
    <w:rsid w:val="00DA0825"/>
    <w:rsid w:val="00DA17AD"/>
    <w:rsid w:val="00DA1E8D"/>
    <w:rsid w:val="00DA22E8"/>
    <w:rsid w:val="00DA23B6"/>
    <w:rsid w:val="00DA2DC6"/>
    <w:rsid w:val="00DA310A"/>
    <w:rsid w:val="00DA327E"/>
    <w:rsid w:val="00DA32B1"/>
    <w:rsid w:val="00DA36A4"/>
    <w:rsid w:val="00DA3CBA"/>
    <w:rsid w:val="00DA3F38"/>
    <w:rsid w:val="00DA4F9A"/>
    <w:rsid w:val="00DA5DC8"/>
    <w:rsid w:val="00DA5EEE"/>
    <w:rsid w:val="00DA6209"/>
    <w:rsid w:val="00DA65D5"/>
    <w:rsid w:val="00DA6610"/>
    <w:rsid w:val="00DA6D42"/>
    <w:rsid w:val="00DA7275"/>
    <w:rsid w:val="00DA770D"/>
    <w:rsid w:val="00DA78BE"/>
    <w:rsid w:val="00DA7BA0"/>
    <w:rsid w:val="00DA7EEB"/>
    <w:rsid w:val="00DB00C9"/>
    <w:rsid w:val="00DB0374"/>
    <w:rsid w:val="00DB0F98"/>
    <w:rsid w:val="00DB11EA"/>
    <w:rsid w:val="00DB139F"/>
    <w:rsid w:val="00DB140E"/>
    <w:rsid w:val="00DB17BE"/>
    <w:rsid w:val="00DB2310"/>
    <w:rsid w:val="00DB2337"/>
    <w:rsid w:val="00DB24D2"/>
    <w:rsid w:val="00DB34D2"/>
    <w:rsid w:val="00DB3A96"/>
    <w:rsid w:val="00DB3B12"/>
    <w:rsid w:val="00DB3E7D"/>
    <w:rsid w:val="00DB404A"/>
    <w:rsid w:val="00DB4104"/>
    <w:rsid w:val="00DB452D"/>
    <w:rsid w:val="00DB47E8"/>
    <w:rsid w:val="00DB4838"/>
    <w:rsid w:val="00DB48C3"/>
    <w:rsid w:val="00DB4905"/>
    <w:rsid w:val="00DB492E"/>
    <w:rsid w:val="00DB4AAA"/>
    <w:rsid w:val="00DB4D1E"/>
    <w:rsid w:val="00DB4D31"/>
    <w:rsid w:val="00DB570E"/>
    <w:rsid w:val="00DB5C29"/>
    <w:rsid w:val="00DB622A"/>
    <w:rsid w:val="00DB697B"/>
    <w:rsid w:val="00DB6C5E"/>
    <w:rsid w:val="00DB759F"/>
    <w:rsid w:val="00DC02F1"/>
    <w:rsid w:val="00DC126F"/>
    <w:rsid w:val="00DC1AF3"/>
    <w:rsid w:val="00DC2025"/>
    <w:rsid w:val="00DC235C"/>
    <w:rsid w:val="00DC237E"/>
    <w:rsid w:val="00DC27A9"/>
    <w:rsid w:val="00DC3026"/>
    <w:rsid w:val="00DC3CF1"/>
    <w:rsid w:val="00DC4DCD"/>
    <w:rsid w:val="00DC5198"/>
    <w:rsid w:val="00DC5362"/>
    <w:rsid w:val="00DC5370"/>
    <w:rsid w:val="00DC58D6"/>
    <w:rsid w:val="00DC62C6"/>
    <w:rsid w:val="00DC63D6"/>
    <w:rsid w:val="00DC6537"/>
    <w:rsid w:val="00DC6569"/>
    <w:rsid w:val="00DC6820"/>
    <w:rsid w:val="00DC6D4A"/>
    <w:rsid w:val="00DC6D4B"/>
    <w:rsid w:val="00DC74ED"/>
    <w:rsid w:val="00DC7A3A"/>
    <w:rsid w:val="00DC7E52"/>
    <w:rsid w:val="00DD0081"/>
    <w:rsid w:val="00DD0385"/>
    <w:rsid w:val="00DD07DE"/>
    <w:rsid w:val="00DD09AF"/>
    <w:rsid w:val="00DD09B2"/>
    <w:rsid w:val="00DD0E00"/>
    <w:rsid w:val="00DD0FE4"/>
    <w:rsid w:val="00DD1A96"/>
    <w:rsid w:val="00DD1BC5"/>
    <w:rsid w:val="00DD1C8C"/>
    <w:rsid w:val="00DD209B"/>
    <w:rsid w:val="00DD2615"/>
    <w:rsid w:val="00DD28BE"/>
    <w:rsid w:val="00DD4CE6"/>
    <w:rsid w:val="00DD55C6"/>
    <w:rsid w:val="00DD5F20"/>
    <w:rsid w:val="00DD602E"/>
    <w:rsid w:val="00DD6186"/>
    <w:rsid w:val="00DD65FD"/>
    <w:rsid w:val="00DD6AC4"/>
    <w:rsid w:val="00DD6AD0"/>
    <w:rsid w:val="00DD7C1A"/>
    <w:rsid w:val="00DE03F9"/>
    <w:rsid w:val="00DE048A"/>
    <w:rsid w:val="00DE118B"/>
    <w:rsid w:val="00DE12DB"/>
    <w:rsid w:val="00DE24AD"/>
    <w:rsid w:val="00DE2604"/>
    <w:rsid w:val="00DE2EC8"/>
    <w:rsid w:val="00DE39AC"/>
    <w:rsid w:val="00DE3AB5"/>
    <w:rsid w:val="00DE3B1D"/>
    <w:rsid w:val="00DE443D"/>
    <w:rsid w:val="00DE46DD"/>
    <w:rsid w:val="00DE4737"/>
    <w:rsid w:val="00DE56A2"/>
    <w:rsid w:val="00DE6C2D"/>
    <w:rsid w:val="00DE71DF"/>
    <w:rsid w:val="00DE72AA"/>
    <w:rsid w:val="00DE7A63"/>
    <w:rsid w:val="00DF03D5"/>
    <w:rsid w:val="00DF0A31"/>
    <w:rsid w:val="00DF0E0C"/>
    <w:rsid w:val="00DF0FE4"/>
    <w:rsid w:val="00DF112D"/>
    <w:rsid w:val="00DF1AE2"/>
    <w:rsid w:val="00DF27C5"/>
    <w:rsid w:val="00DF2AE2"/>
    <w:rsid w:val="00DF2DD6"/>
    <w:rsid w:val="00DF3435"/>
    <w:rsid w:val="00DF3B8F"/>
    <w:rsid w:val="00DF42B3"/>
    <w:rsid w:val="00DF433D"/>
    <w:rsid w:val="00DF5218"/>
    <w:rsid w:val="00DF5577"/>
    <w:rsid w:val="00DF59A2"/>
    <w:rsid w:val="00DF6C52"/>
    <w:rsid w:val="00DF7149"/>
    <w:rsid w:val="00DF7700"/>
    <w:rsid w:val="00DF778A"/>
    <w:rsid w:val="00DF7B8C"/>
    <w:rsid w:val="00DF7FB0"/>
    <w:rsid w:val="00E00543"/>
    <w:rsid w:val="00E01677"/>
    <w:rsid w:val="00E02646"/>
    <w:rsid w:val="00E03376"/>
    <w:rsid w:val="00E03463"/>
    <w:rsid w:val="00E0377E"/>
    <w:rsid w:val="00E03846"/>
    <w:rsid w:val="00E042CE"/>
    <w:rsid w:val="00E04922"/>
    <w:rsid w:val="00E04CA2"/>
    <w:rsid w:val="00E04D8A"/>
    <w:rsid w:val="00E04EB9"/>
    <w:rsid w:val="00E0536C"/>
    <w:rsid w:val="00E06266"/>
    <w:rsid w:val="00E06319"/>
    <w:rsid w:val="00E06B52"/>
    <w:rsid w:val="00E074F4"/>
    <w:rsid w:val="00E07B65"/>
    <w:rsid w:val="00E07B8F"/>
    <w:rsid w:val="00E11F7F"/>
    <w:rsid w:val="00E120CF"/>
    <w:rsid w:val="00E12645"/>
    <w:rsid w:val="00E1270A"/>
    <w:rsid w:val="00E136A0"/>
    <w:rsid w:val="00E137C8"/>
    <w:rsid w:val="00E13C9A"/>
    <w:rsid w:val="00E13EC7"/>
    <w:rsid w:val="00E141C9"/>
    <w:rsid w:val="00E14A75"/>
    <w:rsid w:val="00E14FDA"/>
    <w:rsid w:val="00E154B9"/>
    <w:rsid w:val="00E15D87"/>
    <w:rsid w:val="00E1625F"/>
    <w:rsid w:val="00E16348"/>
    <w:rsid w:val="00E1682E"/>
    <w:rsid w:val="00E170A3"/>
    <w:rsid w:val="00E1738B"/>
    <w:rsid w:val="00E176B7"/>
    <w:rsid w:val="00E205F9"/>
    <w:rsid w:val="00E208F4"/>
    <w:rsid w:val="00E21438"/>
    <w:rsid w:val="00E2227D"/>
    <w:rsid w:val="00E2256C"/>
    <w:rsid w:val="00E22C82"/>
    <w:rsid w:val="00E230A4"/>
    <w:rsid w:val="00E235F9"/>
    <w:rsid w:val="00E2393F"/>
    <w:rsid w:val="00E24195"/>
    <w:rsid w:val="00E24C92"/>
    <w:rsid w:val="00E259D6"/>
    <w:rsid w:val="00E25AF5"/>
    <w:rsid w:val="00E25F70"/>
    <w:rsid w:val="00E260C0"/>
    <w:rsid w:val="00E27512"/>
    <w:rsid w:val="00E275F6"/>
    <w:rsid w:val="00E27BD6"/>
    <w:rsid w:val="00E30B58"/>
    <w:rsid w:val="00E30E55"/>
    <w:rsid w:val="00E32979"/>
    <w:rsid w:val="00E33587"/>
    <w:rsid w:val="00E33C06"/>
    <w:rsid w:val="00E33EB9"/>
    <w:rsid w:val="00E340BF"/>
    <w:rsid w:val="00E342BA"/>
    <w:rsid w:val="00E347C4"/>
    <w:rsid w:val="00E34BE5"/>
    <w:rsid w:val="00E34D00"/>
    <w:rsid w:val="00E36C1B"/>
    <w:rsid w:val="00E36E2E"/>
    <w:rsid w:val="00E376BD"/>
    <w:rsid w:val="00E40725"/>
    <w:rsid w:val="00E40E40"/>
    <w:rsid w:val="00E4151B"/>
    <w:rsid w:val="00E41640"/>
    <w:rsid w:val="00E41827"/>
    <w:rsid w:val="00E41A79"/>
    <w:rsid w:val="00E41D46"/>
    <w:rsid w:val="00E43D71"/>
    <w:rsid w:val="00E44825"/>
    <w:rsid w:val="00E44A94"/>
    <w:rsid w:val="00E45A50"/>
    <w:rsid w:val="00E46516"/>
    <w:rsid w:val="00E46599"/>
    <w:rsid w:val="00E46ADA"/>
    <w:rsid w:val="00E47367"/>
    <w:rsid w:val="00E473A6"/>
    <w:rsid w:val="00E47B6D"/>
    <w:rsid w:val="00E47CA1"/>
    <w:rsid w:val="00E51A30"/>
    <w:rsid w:val="00E51DD1"/>
    <w:rsid w:val="00E521C7"/>
    <w:rsid w:val="00E52796"/>
    <w:rsid w:val="00E52F4E"/>
    <w:rsid w:val="00E533CD"/>
    <w:rsid w:val="00E53874"/>
    <w:rsid w:val="00E540D1"/>
    <w:rsid w:val="00E5414C"/>
    <w:rsid w:val="00E542CC"/>
    <w:rsid w:val="00E54651"/>
    <w:rsid w:val="00E54AF4"/>
    <w:rsid w:val="00E55328"/>
    <w:rsid w:val="00E553C0"/>
    <w:rsid w:val="00E556AC"/>
    <w:rsid w:val="00E5605C"/>
    <w:rsid w:val="00E56261"/>
    <w:rsid w:val="00E56DD2"/>
    <w:rsid w:val="00E60D54"/>
    <w:rsid w:val="00E60DC1"/>
    <w:rsid w:val="00E61070"/>
    <w:rsid w:val="00E61737"/>
    <w:rsid w:val="00E61873"/>
    <w:rsid w:val="00E61ACC"/>
    <w:rsid w:val="00E62017"/>
    <w:rsid w:val="00E6202A"/>
    <w:rsid w:val="00E621A5"/>
    <w:rsid w:val="00E62405"/>
    <w:rsid w:val="00E63671"/>
    <w:rsid w:val="00E63950"/>
    <w:rsid w:val="00E64ED7"/>
    <w:rsid w:val="00E6564E"/>
    <w:rsid w:val="00E658D7"/>
    <w:rsid w:val="00E65DC1"/>
    <w:rsid w:val="00E66AA0"/>
    <w:rsid w:val="00E66D1C"/>
    <w:rsid w:val="00E67A97"/>
    <w:rsid w:val="00E67EA6"/>
    <w:rsid w:val="00E70975"/>
    <w:rsid w:val="00E71183"/>
    <w:rsid w:val="00E720C9"/>
    <w:rsid w:val="00E721C1"/>
    <w:rsid w:val="00E72572"/>
    <w:rsid w:val="00E72836"/>
    <w:rsid w:val="00E72F52"/>
    <w:rsid w:val="00E73651"/>
    <w:rsid w:val="00E73D83"/>
    <w:rsid w:val="00E74909"/>
    <w:rsid w:val="00E74929"/>
    <w:rsid w:val="00E74A76"/>
    <w:rsid w:val="00E74B90"/>
    <w:rsid w:val="00E75F11"/>
    <w:rsid w:val="00E761C6"/>
    <w:rsid w:val="00E76881"/>
    <w:rsid w:val="00E77E92"/>
    <w:rsid w:val="00E808C9"/>
    <w:rsid w:val="00E808EF"/>
    <w:rsid w:val="00E80D05"/>
    <w:rsid w:val="00E825BE"/>
    <w:rsid w:val="00E827CD"/>
    <w:rsid w:val="00E827E2"/>
    <w:rsid w:val="00E8281A"/>
    <w:rsid w:val="00E82E4A"/>
    <w:rsid w:val="00E837EA"/>
    <w:rsid w:val="00E83CC5"/>
    <w:rsid w:val="00E842E0"/>
    <w:rsid w:val="00E86B56"/>
    <w:rsid w:val="00E87110"/>
    <w:rsid w:val="00E8752C"/>
    <w:rsid w:val="00E8795D"/>
    <w:rsid w:val="00E87DCF"/>
    <w:rsid w:val="00E87F56"/>
    <w:rsid w:val="00E91850"/>
    <w:rsid w:val="00E9186A"/>
    <w:rsid w:val="00E918CC"/>
    <w:rsid w:val="00E91E01"/>
    <w:rsid w:val="00E91F31"/>
    <w:rsid w:val="00E928D8"/>
    <w:rsid w:val="00E9372B"/>
    <w:rsid w:val="00E93865"/>
    <w:rsid w:val="00E93C5A"/>
    <w:rsid w:val="00E94119"/>
    <w:rsid w:val="00E94592"/>
    <w:rsid w:val="00E95053"/>
    <w:rsid w:val="00E952FE"/>
    <w:rsid w:val="00E95359"/>
    <w:rsid w:val="00E95D09"/>
    <w:rsid w:val="00E95DC6"/>
    <w:rsid w:val="00E96646"/>
    <w:rsid w:val="00E970B9"/>
    <w:rsid w:val="00E97127"/>
    <w:rsid w:val="00E97393"/>
    <w:rsid w:val="00E973F2"/>
    <w:rsid w:val="00E97552"/>
    <w:rsid w:val="00EA001D"/>
    <w:rsid w:val="00EA032B"/>
    <w:rsid w:val="00EA060D"/>
    <w:rsid w:val="00EA21FE"/>
    <w:rsid w:val="00EA2DAB"/>
    <w:rsid w:val="00EA3468"/>
    <w:rsid w:val="00EA3604"/>
    <w:rsid w:val="00EA381A"/>
    <w:rsid w:val="00EA3F67"/>
    <w:rsid w:val="00EA412B"/>
    <w:rsid w:val="00EA42C4"/>
    <w:rsid w:val="00EA4415"/>
    <w:rsid w:val="00EA4F2C"/>
    <w:rsid w:val="00EA5778"/>
    <w:rsid w:val="00EA6027"/>
    <w:rsid w:val="00EA60F5"/>
    <w:rsid w:val="00EA668C"/>
    <w:rsid w:val="00EA67D1"/>
    <w:rsid w:val="00EA69FA"/>
    <w:rsid w:val="00EA728C"/>
    <w:rsid w:val="00EA7A3E"/>
    <w:rsid w:val="00EA7A6C"/>
    <w:rsid w:val="00EB0415"/>
    <w:rsid w:val="00EB11C0"/>
    <w:rsid w:val="00EB1263"/>
    <w:rsid w:val="00EB2620"/>
    <w:rsid w:val="00EB27A2"/>
    <w:rsid w:val="00EB29A7"/>
    <w:rsid w:val="00EB2F2E"/>
    <w:rsid w:val="00EB43A7"/>
    <w:rsid w:val="00EB46B1"/>
    <w:rsid w:val="00EB4762"/>
    <w:rsid w:val="00EB5094"/>
    <w:rsid w:val="00EB54AF"/>
    <w:rsid w:val="00EB61A0"/>
    <w:rsid w:val="00EB69E8"/>
    <w:rsid w:val="00EB6A6C"/>
    <w:rsid w:val="00EB7396"/>
    <w:rsid w:val="00EB7928"/>
    <w:rsid w:val="00EB7B6F"/>
    <w:rsid w:val="00EC0424"/>
    <w:rsid w:val="00EC08BE"/>
    <w:rsid w:val="00EC0BFF"/>
    <w:rsid w:val="00EC0FF3"/>
    <w:rsid w:val="00EC1940"/>
    <w:rsid w:val="00EC1D36"/>
    <w:rsid w:val="00EC200C"/>
    <w:rsid w:val="00EC3544"/>
    <w:rsid w:val="00EC3D0D"/>
    <w:rsid w:val="00EC3D67"/>
    <w:rsid w:val="00EC4707"/>
    <w:rsid w:val="00EC4A04"/>
    <w:rsid w:val="00EC51A2"/>
    <w:rsid w:val="00EC57FD"/>
    <w:rsid w:val="00EC5E7A"/>
    <w:rsid w:val="00EC65F2"/>
    <w:rsid w:val="00EC6FE6"/>
    <w:rsid w:val="00EC7184"/>
    <w:rsid w:val="00EC79D3"/>
    <w:rsid w:val="00EC79EF"/>
    <w:rsid w:val="00ED06CF"/>
    <w:rsid w:val="00ED121F"/>
    <w:rsid w:val="00ED13E2"/>
    <w:rsid w:val="00ED1579"/>
    <w:rsid w:val="00ED1E98"/>
    <w:rsid w:val="00ED1FFD"/>
    <w:rsid w:val="00ED2625"/>
    <w:rsid w:val="00ED32B3"/>
    <w:rsid w:val="00ED3323"/>
    <w:rsid w:val="00ED3891"/>
    <w:rsid w:val="00ED3D30"/>
    <w:rsid w:val="00ED40B2"/>
    <w:rsid w:val="00ED4687"/>
    <w:rsid w:val="00ED47E0"/>
    <w:rsid w:val="00ED5881"/>
    <w:rsid w:val="00ED58A4"/>
    <w:rsid w:val="00ED6EE7"/>
    <w:rsid w:val="00ED774B"/>
    <w:rsid w:val="00ED7C60"/>
    <w:rsid w:val="00EE1122"/>
    <w:rsid w:val="00EE1F29"/>
    <w:rsid w:val="00EE1F8D"/>
    <w:rsid w:val="00EE20BB"/>
    <w:rsid w:val="00EE212B"/>
    <w:rsid w:val="00EE21CF"/>
    <w:rsid w:val="00EE2C19"/>
    <w:rsid w:val="00EE339D"/>
    <w:rsid w:val="00EE3477"/>
    <w:rsid w:val="00EE3679"/>
    <w:rsid w:val="00EE3EE1"/>
    <w:rsid w:val="00EE4195"/>
    <w:rsid w:val="00EE51EB"/>
    <w:rsid w:val="00EE6072"/>
    <w:rsid w:val="00EE61CF"/>
    <w:rsid w:val="00EE633D"/>
    <w:rsid w:val="00EE68AB"/>
    <w:rsid w:val="00EE74C5"/>
    <w:rsid w:val="00EE7756"/>
    <w:rsid w:val="00EF0436"/>
    <w:rsid w:val="00EF12D4"/>
    <w:rsid w:val="00EF143C"/>
    <w:rsid w:val="00EF164A"/>
    <w:rsid w:val="00EF16B3"/>
    <w:rsid w:val="00EF1EE9"/>
    <w:rsid w:val="00EF2718"/>
    <w:rsid w:val="00EF2944"/>
    <w:rsid w:val="00EF2ED1"/>
    <w:rsid w:val="00EF2F41"/>
    <w:rsid w:val="00EF31BB"/>
    <w:rsid w:val="00EF3253"/>
    <w:rsid w:val="00EF3284"/>
    <w:rsid w:val="00EF3883"/>
    <w:rsid w:val="00EF3B00"/>
    <w:rsid w:val="00EF3C2C"/>
    <w:rsid w:val="00EF4E44"/>
    <w:rsid w:val="00EF4EA4"/>
    <w:rsid w:val="00EF5A73"/>
    <w:rsid w:val="00EF601D"/>
    <w:rsid w:val="00EF6305"/>
    <w:rsid w:val="00EF69A1"/>
    <w:rsid w:val="00EF6D63"/>
    <w:rsid w:val="00EF70F9"/>
    <w:rsid w:val="00EF7656"/>
    <w:rsid w:val="00F00387"/>
    <w:rsid w:val="00F00DAF"/>
    <w:rsid w:val="00F00F3E"/>
    <w:rsid w:val="00F00FAB"/>
    <w:rsid w:val="00F011DA"/>
    <w:rsid w:val="00F011DF"/>
    <w:rsid w:val="00F0130D"/>
    <w:rsid w:val="00F02145"/>
    <w:rsid w:val="00F023B9"/>
    <w:rsid w:val="00F0309A"/>
    <w:rsid w:val="00F03411"/>
    <w:rsid w:val="00F03558"/>
    <w:rsid w:val="00F03777"/>
    <w:rsid w:val="00F03982"/>
    <w:rsid w:val="00F039D0"/>
    <w:rsid w:val="00F03E76"/>
    <w:rsid w:val="00F03F4B"/>
    <w:rsid w:val="00F04473"/>
    <w:rsid w:val="00F04485"/>
    <w:rsid w:val="00F04A0E"/>
    <w:rsid w:val="00F05187"/>
    <w:rsid w:val="00F05586"/>
    <w:rsid w:val="00F058A2"/>
    <w:rsid w:val="00F05A63"/>
    <w:rsid w:val="00F05A83"/>
    <w:rsid w:val="00F05C80"/>
    <w:rsid w:val="00F0630A"/>
    <w:rsid w:val="00F071D6"/>
    <w:rsid w:val="00F073C7"/>
    <w:rsid w:val="00F07AFE"/>
    <w:rsid w:val="00F07CE5"/>
    <w:rsid w:val="00F11731"/>
    <w:rsid w:val="00F1182E"/>
    <w:rsid w:val="00F1250F"/>
    <w:rsid w:val="00F125BE"/>
    <w:rsid w:val="00F12996"/>
    <w:rsid w:val="00F12E23"/>
    <w:rsid w:val="00F12E75"/>
    <w:rsid w:val="00F13221"/>
    <w:rsid w:val="00F138CC"/>
    <w:rsid w:val="00F13E5E"/>
    <w:rsid w:val="00F1420C"/>
    <w:rsid w:val="00F142F4"/>
    <w:rsid w:val="00F14CAA"/>
    <w:rsid w:val="00F15667"/>
    <w:rsid w:val="00F15726"/>
    <w:rsid w:val="00F1576B"/>
    <w:rsid w:val="00F15F7A"/>
    <w:rsid w:val="00F16A00"/>
    <w:rsid w:val="00F17409"/>
    <w:rsid w:val="00F20527"/>
    <w:rsid w:val="00F20917"/>
    <w:rsid w:val="00F20A5B"/>
    <w:rsid w:val="00F20D02"/>
    <w:rsid w:val="00F211DB"/>
    <w:rsid w:val="00F212D4"/>
    <w:rsid w:val="00F219AE"/>
    <w:rsid w:val="00F21CAF"/>
    <w:rsid w:val="00F221D7"/>
    <w:rsid w:val="00F2235D"/>
    <w:rsid w:val="00F22F50"/>
    <w:rsid w:val="00F23B72"/>
    <w:rsid w:val="00F23BAC"/>
    <w:rsid w:val="00F24EEE"/>
    <w:rsid w:val="00F25C3F"/>
    <w:rsid w:val="00F264E7"/>
    <w:rsid w:val="00F30518"/>
    <w:rsid w:val="00F30DA2"/>
    <w:rsid w:val="00F330CC"/>
    <w:rsid w:val="00F337D4"/>
    <w:rsid w:val="00F33898"/>
    <w:rsid w:val="00F338EC"/>
    <w:rsid w:val="00F338FB"/>
    <w:rsid w:val="00F33B42"/>
    <w:rsid w:val="00F33DCE"/>
    <w:rsid w:val="00F34269"/>
    <w:rsid w:val="00F34B5E"/>
    <w:rsid w:val="00F35508"/>
    <w:rsid w:val="00F356B8"/>
    <w:rsid w:val="00F35972"/>
    <w:rsid w:val="00F359ED"/>
    <w:rsid w:val="00F35F09"/>
    <w:rsid w:val="00F35F44"/>
    <w:rsid w:val="00F364B4"/>
    <w:rsid w:val="00F367E3"/>
    <w:rsid w:val="00F37BC0"/>
    <w:rsid w:val="00F4062A"/>
    <w:rsid w:val="00F40B34"/>
    <w:rsid w:val="00F4119A"/>
    <w:rsid w:val="00F41A73"/>
    <w:rsid w:val="00F41BE0"/>
    <w:rsid w:val="00F41D1C"/>
    <w:rsid w:val="00F41F6C"/>
    <w:rsid w:val="00F42D9A"/>
    <w:rsid w:val="00F431B6"/>
    <w:rsid w:val="00F4392D"/>
    <w:rsid w:val="00F43D3D"/>
    <w:rsid w:val="00F43FB9"/>
    <w:rsid w:val="00F440A5"/>
    <w:rsid w:val="00F44549"/>
    <w:rsid w:val="00F44855"/>
    <w:rsid w:val="00F44E75"/>
    <w:rsid w:val="00F452FF"/>
    <w:rsid w:val="00F453C4"/>
    <w:rsid w:val="00F460A8"/>
    <w:rsid w:val="00F465FE"/>
    <w:rsid w:val="00F46AE2"/>
    <w:rsid w:val="00F473E5"/>
    <w:rsid w:val="00F47B38"/>
    <w:rsid w:val="00F50778"/>
    <w:rsid w:val="00F50F78"/>
    <w:rsid w:val="00F51845"/>
    <w:rsid w:val="00F522CE"/>
    <w:rsid w:val="00F52D57"/>
    <w:rsid w:val="00F5344E"/>
    <w:rsid w:val="00F53967"/>
    <w:rsid w:val="00F5452D"/>
    <w:rsid w:val="00F545FF"/>
    <w:rsid w:val="00F554F2"/>
    <w:rsid w:val="00F55D53"/>
    <w:rsid w:val="00F56E5F"/>
    <w:rsid w:val="00F572E5"/>
    <w:rsid w:val="00F5786F"/>
    <w:rsid w:val="00F61D74"/>
    <w:rsid w:val="00F6224D"/>
    <w:rsid w:val="00F6298B"/>
    <w:rsid w:val="00F62AB0"/>
    <w:rsid w:val="00F6315F"/>
    <w:rsid w:val="00F63942"/>
    <w:rsid w:val="00F6433D"/>
    <w:rsid w:val="00F646AA"/>
    <w:rsid w:val="00F654A5"/>
    <w:rsid w:val="00F657B2"/>
    <w:rsid w:val="00F659EE"/>
    <w:rsid w:val="00F65EB1"/>
    <w:rsid w:val="00F65FB2"/>
    <w:rsid w:val="00F661B1"/>
    <w:rsid w:val="00F66610"/>
    <w:rsid w:val="00F66A23"/>
    <w:rsid w:val="00F66BEF"/>
    <w:rsid w:val="00F6734C"/>
    <w:rsid w:val="00F67883"/>
    <w:rsid w:val="00F7095F"/>
    <w:rsid w:val="00F709A6"/>
    <w:rsid w:val="00F70C3A"/>
    <w:rsid w:val="00F71111"/>
    <w:rsid w:val="00F722EE"/>
    <w:rsid w:val="00F724E4"/>
    <w:rsid w:val="00F72B26"/>
    <w:rsid w:val="00F72E5A"/>
    <w:rsid w:val="00F7339E"/>
    <w:rsid w:val="00F733EE"/>
    <w:rsid w:val="00F7353A"/>
    <w:rsid w:val="00F736F4"/>
    <w:rsid w:val="00F73DA1"/>
    <w:rsid w:val="00F750A4"/>
    <w:rsid w:val="00F757E3"/>
    <w:rsid w:val="00F762C8"/>
    <w:rsid w:val="00F764F3"/>
    <w:rsid w:val="00F76F1A"/>
    <w:rsid w:val="00F7749F"/>
    <w:rsid w:val="00F8003E"/>
    <w:rsid w:val="00F80795"/>
    <w:rsid w:val="00F80F9A"/>
    <w:rsid w:val="00F810AD"/>
    <w:rsid w:val="00F813C8"/>
    <w:rsid w:val="00F8151F"/>
    <w:rsid w:val="00F8158C"/>
    <w:rsid w:val="00F81785"/>
    <w:rsid w:val="00F8272C"/>
    <w:rsid w:val="00F82907"/>
    <w:rsid w:val="00F82A35"/>
    <w:rsid w:val="00F82BC2"/>
    <w:rsid w:val="00F83350"/>
    <w:rsid w:val="00F83361"/>
    <w:rsid w:val="00F83399"/>
    <w:rsid w:val="00F83A18"/>
    <w:rsid w:val="00F8433D"/>
    <w:rsid w:val="00F84BE4"/>
    <w:rsid w:val="00F85008"/>
    <w:rsid w:val="00F852DC"/>
    <w:rsid w:val="00F85E9D"/>
    <w:rsid w:val="00F85EE8"/>
    <w:rsid w:val="00F85F28"/>
    <w:rsid w:val="00F867BD"/>
    <w:rsid w:val="00F86D77"/>
    <w:rsid w:val="00F8749B"/>
    <w:rsid w:val="00F87CEB"/>
    <w:rsid w:val="00F87D93"/>
    <w:rsid w:val="00F87FBA"/>
    <w:rsid w:val="00F9077C"/>
    <w:rsid w:val="00F909B8"/>
    <w:rsid w:val="00F909F5"/>
    <w:rsid w:val="00F90CEB"/>
    <w:rsid w:val="00F919F0"/>
    <w:rsid w:val="00F91C98"/>
    <w:rsid w:val="00F9269D"/>
    <w:rsid w:val="00F93D97"/>
    <w:rsid w:val="00F94343"/>
    <w:rsid w:val="00F9436C"/>
    <w:rsid w:val="00F94B0C"/>
    <w:rsid w:val="00F94CD0"/>
    <w:rsid w:val="00F94E96"/>
    <w:rsid w:val="00F95149"/>
    <w:rsid w:val="00F964A7"/>
    <w:rsid w:val="00F966B9"/>
    <w:rsid w:val="00F968E6"/>
    <w:rsid w:val="00F96AB6"/>
    <w:rsid w:val="00FA00E6"/>
    <w:rsid w:val="00FA0EDA"/>
    <w:rsid w:val="00FA1A47"/>
    <w:rsid w:val="00FA2043"/>
    <w:rsid w:val="00FA20F0"/>
    <w:rsid w:val="00FA2201"/>
    <w:rsid w:val="00FA222E"/>
    <w:rsid w:val="00FA29C5"/>
    <w:rsid w:val="00FA2B2E"/>
    <w:rsid w:val="00FA349A"/>
    <w:rsid w:val="00FA3623"/>
    <w:rsid w:val="00FA381C"/>
    <w:rsid w:val="00FA3FB0"/>
    <w:rsid w:val="00FA3FF1"/>
    <w:rsid w:val="00FA4782"/>
    <w:rsid w:val="00FA47D3"/>
    <w:rsid w:val="00FA5B89"/>
    <w:rsid w:val="00FA5F93"/>
    <w:rsid w:val="00FA6135"/>
    <w:rsid w:val="00FA6492"/>
    <w:rsid w:val="00FA6552"/>
    <w:rsid w:val="00FA6ED7"/>
    <w:rsid w:val="00FA7C89"/>
    <w:rsid w:val="00FB0E7E"/>
    <w:rsid w:val="00FB1290"/>
    <w:rsid w:val="00FB18CB"/>
    <w:rsid w:val="00FB2066"/>
    <w:rsid w:val="00FB428F"/>
    <w:rsid w:val="00FB4491"/>
    <w:rsid w:val="00FB4A94"/>
    <w:rsid w:val="00FB4BB3"/>
    <w:rsid w:val="00FB4D86"/>
    <w:rsid w:val="00FB4F03"/>
    <w:rsid w:val="00FB502E"/>
    <w:rsid w:val="00FB5D31"/>
    <w:rsid w:val="00FB5D35"/>
    <w:rsid w:val="00FB5E43"/>
    <w:rsid w:val="00FB5EC5"/>
    <w:rsid w:val="00FB5FA8"/>
    <w:rsid w:val="00FB640B"/>
    <w:rsid w:val="00FB6478"/>
    <w:rsid w:val="00FB6B84"/>
    <w:rsid w:val="00FB7DFB"/>
    <w:rsid w:val="00FC03EA"/>
    <w:rsid w:val="00FC0686"/>
    <w:rsid w:val="00FC0ABF"/>
    <w:rsid w:val="00FC0B6A"/>
    <w:rsid w:val="00FC0D49"/>
    <w:rsid w:val="00FC1805"/>
    <w:rsid w:val="00FC23B4"/>
    <w:rsid w:val="00FC2411"/>
    <w:rsid w:val="00FC43C6"/>
    <w:rsid w:val="00FC476C"/>
    <w:rsid w:val="00FC5740"/>
    <w:rsid w:val="00FC5917"/>
    <w:rsid w:val="00FC6404"/>
    <w:rsid w:val="00FC65DF"/>
    <w:rsid w:val="00FC6D5F"/>
    <w:rsid w:val="00FC6F4E"/>
    <w:rsid w:val="00FC74E3"/>
    <w:rsid w:val="00FC766A"/>
    <w:rsid w:val="00FC78BA"/>
    <w:rsid w:val="00FC7A6D"/>
    <w:rsid w:val="00FC7ADE"/>
    <w:rsid w:val="00FD0232"/>
    <w:rsid w:val="00FD024D"/>
    <w:rsid w:val="00FD0302"/>
    <w:rsid w:val="00FD0726"/>
    <w:rsid w:val="00FD09C4"/>
    <w:rsid w:val="00FD1CA4"/>
    <w:rsid w:val="00FD2188"/>
    <w:rsid w:val="00FD21C7"/>
    <w:rsid w:val="00FD45C4"/>
    <w:rsid w:val="00FD484F"/>
    <w:rsid w:val="00FD4F22"/>
    <w:rsid w:val="00FD4FC1"/>
    <w:rsid w:val="00FD6648"/>
    <w:rsid w:val="00FD6981"/>
    <w:rsid w:val="00FD6A95"/>
    <w:rsid w:val="00FD6B4C"/>
    <w:rsid w:val="00FD7822"/>
    <w:rsid w:val="00FE00FA"/>
    <w:rsid w:val="00FE03EF"/>
    <w:rsid w:val="00FE0856"/>
    <w:rsid w:val="00FE1CAD"/>
    <w:rsid w:val="00FE1EA7"/>
    <w:rsid w:val="00FE2219"/>
    <w:rsid w:val="00FE2823"/>
    <w:rsid w:val="00FE34F6"/>
    <w:rsid w:val="00FE38CE"/>
    <w:rsid w:val="00FE3934"/>
    <w:rsid w:val="00FE3E72"/>
    <w:rsid w:val="00FE424D"/>
    <w:rsid w:val="00FE5BD1"/>
    <w:rsid w:val="00FE5E2A"/>
    <w:rsid w:val="00FE5FC6"/>
    <w:rsid w:val="00FE63F0"/>
    <w:rsid w:val="00FE6A1A"/>
    <w:rsid w:val="00FE6FE6"/>
    <w:rsid w:val="00FE7270"/>
    <w:rsid w:val="00FE79FF"/>
    <w:rsid w:val="00FF09D2"/>
    <w:rsid w:val="00FF0D66"/>
    <w:rsid w:val="00FF1884"/>
    <w:rsid w:val="00FF2178"/>
    <w:rsid w:val="00FF2ABD"/>
    <w:rsid w:val="00FF2BBB"/>
    <w:rsid w:val="00FF30B5"/>
    <w:rsid w:val="00FF3485"/>
    <w:rsid w:val="00FF3504"/>
    <w:rsid w:val="00FF3C5B"/>
    <w:rsid w:val="00FF3FBD"/>
    <w:rsid w:val="00FF4F54"/>
    <w:rsid w:val="00FF5BE4"/>
    <w:rsid w:val="00FF64CC"/>
    <w:rsid w:val="00FF64F2"/>
    <w:rsid w:val="00FF7FFD"/>
    <w:rsid w:val="01C04FAF"/>
    <w:rsid w:val="01F8682F"/>
    <w:rsid w:val="022F6084"/>
    <w:rsid w:val="02413721"/>
    <w:rsid w:val="02532161"/>
    <w:rsid w:val="0294685C"/>
    <w:rsid w:val="0295254F"/>
    <w:rsid w:val="03497F16"/>
    <w:rsid w:val="036430F8"/>
    <w:rsid w:val="03825BEC"/>
    <w:rsid w:val="03B13FD1"/>
    <w:rsid w:val="04205005"/>
    <w:rsid w:val="045D4612"/>
    <w:rsid w:val="0477292F"/>
    <w:rsid w:val="04D70525"/>
    <w:rsid w:val="05DF7307"/>
    <w:rsid w:val="06237BCD"/>
    <w:rsid w:val="06524606"/>
    <w:rsid w:val="066B75EF"/>
    <w:rsid w:val="068E22BE"/>
    <w:rsid w:val="07D66AB4"/>
    <w:rsid w:val="081C60AE"/>
    <w:rsid w:val="08732E82"/>
    <w:rsid w:val="089F2E84"/>
    <w:rsid w:val="08E863B3"/>
    <w:rsid w:val="09762B6D"/>
    <w:rsid w:val="097E25CA"/>
    <w:rsid w:val="0A1F44C1"/>
    <w:rsid w:val="0A3A1D8C"/>
    <w:rsid w:val="0A3C63DE"/>
    <w:rsid w:val="0A44451C"/>
    <w:rsid w:val="0A5C5A16"/>
    <w:rsid w:val="0B125BA0"/>
    <w:rsid w:val="0B277403"/>
    <w:rsid w:val="0B9F3DD9"/>
    <w:rsid w:val="0BBE1AAA"/>
    <w:rsid w:val="0C622C66"/>
    <w:rsid w:val="0C663DBD"/>
    <w:rsid w:val="0CC918E5"/>
    <w:rsid w:val="0D0E7901"/>
    <w:rsid w:val="0D190151"/>
    <w:rsid w:val="0D5A5DFB"/>
    <w:rsid w:val="0E36101F"/>
    <w:rsid w:val="0E7D2A40"/>
    <w:rsid w:val="0E954802"/>
    <w:rsid w:val="0E9A7D93"/>
    <w:rsid w:val="0EFA2040"/>
    <w:rsid w:val="0F2164F0"/>
    <w:rsid w:val="0FEA70B8"/>
    <w:rsid w:val="107D1480"/>
    <w:rsid w:val="10833B54"/>
    <w:rsid w:val="10AF5F27"/>
    <w:rsid w:val="10DC6B6C"/>
    <w:rsid w:val="10F1257C"/>
    <w:rsid w:val="11184A89"/>
    <w:rsid w:val="111F14AE"/>
    <w:rsid w:val="11A24477"/>
    <w:rsid w:val="11A963CC"/>
    <w:rsid w:val="11ED40E2"/>
    <w:rsid w:val="122D0017"/>
    <w:rsid w:val="1246102E"/>
    <w:rsid w:val="12906AB9"/>
    <w:rsid w:val="12C501ED"/>
    <w:rsid w:val="12C856CD"/>
    <w:rsid w:val="13623775"/>
    <w:rsid w:val="13663C0F"/>
    <w:rsid w:val="145A44A4"/>
    <w:rsid w:val="147F4BD6"/>
    <w:rsid w:val="14D233B9"/>
    <w:rsid w:val="154B0F72"/>
    <w:rsid w:val="15B566B2"/>
    <w:rsid w:val="15CA6494"/>
    <w:rsid w:val="161C3165"/>
    <w:rsid w:val="16F600D6"/>
    <w:rsid w:val="16FD4E7B"/>
    <w:rsid w:val="17352178"/>
    <w:rsid w:val="176027E8"/>
    <w:rsid w:val="17CD0700"/>
    <w:rsid w:val="18211D30"/>
    <w:rsid w:val="186D2B36"/>
    <w:rsid w:val="189854CC"/>
    <w:rsid w:val="197F2C9B"/>
    <w:rsid w:val="19A46910"/>
    <w:rsid w:val="19EB651B"/>
    <w:rsid w:val="1AB418C9"/>
    <w:rsid w:val="1ADC1A3B"/>
    <w:rsid w:val="1B10622A"/>
    <w:rsid w:val="1B802EA3"/>
    <w:rsid w:val="1B982D88"/>
    <w:rsid w:val="1BBC0AA7"/>
    <w:rsid w:val="1BEA2306"/>
    <w:rsid w:val="1C33298F"/>
    <w:rsid w:val="1C4A553B"/>
    <w:rsid w:val="1CA7003D"/>
    <w:rsid w:val="1CD15804"/>
    <w:rsid w:val="1CD21D6A"/>
    <w:rsid w:val="1CDE6CE9"/>
    <w:rsid w:val="1D0A4ABE"/>
    <w:rsid w:val="1DA875B0"/>
    <w:rsid w:val="1E026ABD"/>
    <w:rsid w:val="1E0C1D1C"/>
    <w:rsid w:val="1E976FB1"/>
    <w:rsid w:val="1F64049D"/>
    <w:rsid w:val="20675D8F"/>
    <w:rsid w:val="207E2C51"/>
    <w:rsid w:val="20924D7A"/>
    <w:rsid w:val="21294F4F"/>
    <w:rsid w:val="216A7683"/>
    <w:rsid w:val="21723942"/>
    <w:rsid w:val="21A04281"/>
    <w:rsid w:val="21B030A3"/>
    <w:rsid w:val="21BA19E3"/>
    <w:rsid w:val="21BD35F0"/>
    <w:rsid w:val="21DF093D"/>
    <w:rsid w:val="22236EC9"/>
    <w:rsid w:val="22600F83"/>
    <w:rsid w:val="2332220A"/>
    <w:rsid w:val="233649DC"/>
    <w:rsid w:val="235758EF"/>
    <w:rsid w:val="239F7D07"/>
    <w:rsid w:val="23EC5CF6"/>
    <w:rsid w:val="24C763B1"/>
    <w:rsid w:val="24D52D86"/>
    <w:rsid w:val="24EF2802"/>
    <w:rsid w:val="250D4C8F"/>
    <w:rsid w:val="256B0C59"/>
    <w:rsid w:val="25C6365F"/>
    <w:rsid w:val="260D6C9D"/>
    <w:rsid w:val="261331FE"/>
    <w:rsid w:val="2638527B"/>
    <w:rsid w:val="2648021D"/>
    <w:rsid w:val="26E848C5"/>
    <w:rsid w:val="27DD7193"/>
    <w:rsid w:val="28075C4D"/>
    <w:rsid w:val="28BE567C"/>
    <w:rsid w:val="28E82B25"/>
    <w:rsid w:val="28EF092A"/>
    <w:rsid w:val="28F33F35"/>
    <w:rsid w:val="2909003A"/>
    <w:rsid w:val="29745A20"/>
    <w:rsid w:val="29CD3F14"/>
    <w:rsid w:val="29EC2739"/>
    <w:rsid w:val="2A53333F"/>
    <w:rsid w:val="2A5B6288"/>
    <w:rsid w:val="2B4863A5"/>
    <w:rsid w:val="2BB30C25"/>
    <w:rsid w:val="2BE05F64"/>
    <w:rsid w:val="2C703F14"/>
    <w:rsid w:val="2CAC1B0A"/>
    <w:rsid w:val="2CB2349A"/>
    <w:rsid w:val="2CDC35F1"/>
    <w:rsid w:val="2CEB605A"/>
    <w:rsid w:val="2D772B9A"/>
    <w:rsid w:val="2D863F6B"/>
    <w:rsid w:val="2D975304"/>
    <w:rsid w:val="2DCC2BE9"/>
    <w:rsid w:val="2EBC7836"/>
    <w:rsid w:val="2F11589E"/>
    <w:rsid w:val="2F143508"/>
    <w:rsid w:val="2FDA4FF2"/>
    <w:rsid w:val="30531F80"/>
    <w:rsid w:val="30933128"/>
    <w:rsid w:val="30F061CF"/>
    <w:rsid w:val="30F142D4"/>
    <w:rsid w:val="3132180B"/>
    <w:rsid w:val="314D65E2"/>
    <w:rsid w:val="315E424C"/>
    <w:rsid w:val="31916161"/>
    <w:rsid w:val="31A6176C"/>
    <w:rsid w:val="31D60D50"/>
    <w:rsid w:val="32244508"/>
    <w:rsid w:val="323751A9"/>
    <w:rsid w:val="323D406C"/>
    <w:rsid w:val="32650757"/>
    <w:rsid w:val="327C192F"/>
    <w:rsid w:val="32860DC1"/>
    <w:rsid w:val="328772C5"/>
    <w:rsid w:val="32F939F7"/>
    <w:rsid w:val="33055890"/>
    <w:rsid w:val="33510C23"/>
    <w:rsid w:val="33885468"/>
    <w:rsid w:val="33A55CE0"/>
    <w:rsid w:val="343E63E9"/>
    <w:rsid w:val="34911A5C"/>
    <w:rsid w:val="34CF5F93"/>
    <w:rsid w:val="35206F11"/>
    <w:rsid w:val="35357321"/>
    <w:rsid w:val="35460674"/>
    <w:rsid w:val="358362DE"/>
    <w:rsid w:val="35AD5829"/>
    <w:rsid w:val="35B5085D"/>
    <w:rsid w:val="35D816E6"/>
    <w:rsid w:val="3654463E"/>
    <w:rsid w:val="366D5BA6"/>
    <w:rsid w:val="37443253"/>
    <w:rsid w:val="374B437C"/>
    <w:rsid w:val="375574C3"/>
    <w:rsid w:val="37ED5F9B"/>
    <w:rsid w:val="37F70BA0"/>
    <w:rsid w:val="38370AB6"/>
    <w:rsid w:val="38D56C58"/>
    <w:rsid w:val="38FD43C8"/>
    <w:rsid w:val="39125B60"/>
    <w:rsid w:val="396F0E77"/>
    <w:rsid w:val="39F37B5E"/>
    <w:rsid w:val="3A873AAC"/>
    <w:rsid w:val="3B7F0541"/>
    <w:rsid w:val="3BFE5303"/>
    <w:rsid w:val="3C234A09"/>
    <w:rsid w:val="3CC32DAC"/>
    <w:rsid w:val="3D265966"/>
    <w:rsid w:val="3D7F40B0"/>
    <w:rsid w:val="3DC2371B"/>
    <w:rsid w:val="3EBF44D8"/>
    <w:rsid w:val="3EDB4801"/>
    <w:rsid w:val="3F0D4E6A"/>
    <w:rsid w:val="3F481C68"/>
    <w:rsid w:val="3FAF31D0"/>
    <w:rsid w:val="40A5430A"/>
    <w:rsid w:val="41166258"/>
    <w:rsid w:val="41971F4D"/>
    <w:rsid w:val="41990C37"/>
    <w:rsid w:val="422A717B"/>
    <w:rsid w:val="425B5C5E"/>
    <w:rsid w:val="43572B58"/>
    <w:rsid w:val="436160CC"/>
    <w:rsid w:val="43F73B29"/>
    <w:rsid w:val="44197076"/>
    <w:rsid w:val="442249D1"/>
    <w:rsid w:val="446169CD"/>
    <w:rsid w:val="446D233C"/>
    <w:rsid w:val="44AD27D2"/>
    <w:rsid w:val="45A41279"/>
    <w:rsid w:val="463137E8"/>
    <w:rsid w:val="468B152C"/>
    <w:rsid w:val="46C2103E"/>
    <w:rsid w:val="46F25071"/>
    <w:rsid w:val="47222764"/>
    <w:rsid w:val="476B4E24"/>
    <w:rsid w:val="47F548BD"/>
    <w:rsid w:val="481A58CB"/>
    <w:rsid w:val="48270A8C"/>
    <w:rsid w:val="4837354E"/>
    <w:rsid w:val="48C65A89"/>
    <w:rsid w:val="48EE1869"/>
    <w:rsid w:val="494033A5"/>
    <w:rsid w:val="49893261"/>
    <w:rsid w:val="498C3418"/>
    <w:rsid w:val="49A955E4"/>
    <w:rsid w:val="4A3E7BF2"/>
    <w:rsid w:val="4AD57821"/>
    <w:rsid w:val="4B110B04"/>
    <w:rsid w:val="4B184861"/>
    <w:rsid w:val="4B2005B3"/>
    <w:rsid w:val="4B3A776A"/>
    <w:rsid w:val="4BF57D7E"/>
    <w:rsid w:val="4CCA6EED"/>
    <w:rsid w:val="4D3C517F"/>
    <w:rsid w:val="4D63205D"/>
    <w:rsid w:val="4DDB11B3"/>
    <w:rsid w:val="4DF70D8B"/>
    <w:rsid w:val="4E042092"/>
    <w:rsid w:val="4EAB00B5"/>
    <w:rsid w:val="4EAD5B34"/>
    <w:rsid w:val="4F7D6338"/>
    <w:rsid w:val="4FC66706"/>
    <w:rsid w:val="4FE70D2D"/>
    <w:rsid w:val="509E37D2"/>
    <w:rsid w:val="50CF4C80"/>
    <w:rsid w:val="50E664B1"/>
    <w:rsid w:val="51C42066"/>
    <w:rsid w:val="51EC1922"/>
    <w:rsid w:val="520A46B1"/>
    <w:rsid w:val="520D7F56"/>
    <w:rsid w:val="525D338A"/>
    <w:rsid w:val="52C57C3D"/>
    <w:rsid w:val="52D95337"/>
    <w:rsid w:val="52DD0277"/>
    <w:rsid w:val="532F61F7"/>
    <w:rsid w:val="53A22B62"/>
    <w:rsid w:val="53AB7271"/>
    <w:rsid w:val="549C78FB"/>
    <w:rsid w:val="54C27CA9"/>
    <w:rsid w:val="55377B70"/>
    <w:rsid w:val="559F73CF"/>
    <w:rsid w:val="56091890"/>
    <w:rsid w:val="562B7536"/>
    <w:rsid w:val="56324F2D"/>
    <w:rsid w:val="568A066A"/>
    <w:rsid w:val="56D855EA"/>
    <w:rsid w:val="56E01359"/>
    <w:rsid w:val="57565C1A"/>
    <w:rsid w:val="575A7D17"/>
    <w:rsid w:val="57B726C5"/>
    <w:rsid w:val="57B95737"/>
    <w:rsid w:val="57FA5906"/>
    <w:rsid w:val="583D0117"/>
    <w:rsid w:val="58975ACC"/>
    <w:rsid w:val="58C06914"/>
    <w:rsid w:val="59056761"/>
    <w:rsid w:val="594A15FC"/>
    <w:rsid w:val="594F471B"/>
    <w:rsid w:val="59571EB7"/>
    <w:rsid w:val="598F49A2"/>
    <w:rsid w:val="59952060"/>
    <w:rsid w:val="59E6706B"/>
    <w:rsid w:val="5A25624B"/>
    <w:rsid w:val="5A3942AC"/>
    <w:rsid w:val="5A901D6E"/>
    <w:rsid w:val="5B3657C0"/>
    <w:rsid w:val="5B774793"/>
    <w:rsid w:val="5C1304A9"/>
    <w:rsid w:val="5C535BEA"/>
    <w:rsid w:val="5C5A7EBD"/>
    <w:rsid w:val="5D360430"/>
    <w:rsid w:val="5DB158A3"/>
    <w:rsid w:val="5DD16E72"/>
    <w:rsid w:val="5E6F6F0F"/>
    <w:rsid w:val="5EF05EE3"/>
    <w:rsid w:val="5F0E2A70"/>
    <w:rsid w:val="5F3E4655"/>
    <w:rsid w:val="5F546971"/>
    <w:rsid w:val="5FD764CE"/>
    <w:rsid w:val="603A5154"/>
    <w:rsid w:val="60545300"/>
    <w:rsid w:val="606676C1"/>
    <w:rsid w:val="61221C81"/>
    <w:rsid w:val="61286485"/>
    <w:rsid w:val="620617EB"/>
    <w:rsid w:val="628C37A4"/>
    <w:rsid w:val="62D355EE"/>
    <w:rsid w:val="6371033E"/>
    <w:rsid w:val="63784F92"/>
    <w:rsid w:val="63F55D49"/>
    <w:rsid w:val="64262AEA"/>
    <w:rsid w:val="650D5EA6"/>
    <w:rsid w:val="6516145B"/>
    <w:rsid w:val="6546636E"/>
    <w:rsid w:val="656B02AC"/>
    <w:rsid w:val="65BD66BC"/>
    <w:rsid w:val="65DE14D4"/>
    <w:rsid w:val="662606CD"/>
    <w:rsid w:val="662E30D4"/>
    <w:rsid w:val="670E2044"/>
    <w:rsid w:val="67793334"/>
    <w:rsid w:val="67B354E2"/>
    <w:rsid w:val="689A0CBB"/>
    <w:rsid w:val="68C33EE6"/>
    <w:rsid w:val="68C62326"/>
    <w:rsid w:val="69C66D7A"/>
    <w:rsid w:val="69F75C4F"/>
    <w:rsid w:val="6A167CAF"/>
    <w:rsid w:val="6A6D0744"/>
    <w:rsid w:val="6A762EFA"/>
    <w:rsid w:val="6A9304AE"/>
    <w:rsid w:val="6B2018FE"/>
    <w:rsid w:val="6BDD4675"/>
    <w:rsid w:val="6C260E0F"/>
    <w:rsid w:val="6C3B3764"/>
    <w:rsid w:val="6C8C157E"/>
    <w:rsid w:val="6C9205D9"/>
    <w:rsid w:val="6D2B1CCC"/>
    <w:rsid w:val="6D8D3E69"/>
    <w:rsid w:val="6E166FE8"/>
    <w:rsid w:val="6E1A258D"/>
    <w:rsid w:val="6E484D33"/>
    <w:rsid w:val="6E9320AD"/>
    <w:rsid w:val="6EAD4CA1"/>
    <w:rsid w:val="6F2B7AD0"/>
    <w:rsid w:val="709727AE"/>
    <w:rsid w:val="70F152DD"/>
    <w:rsid w:val="71937361"/>
    <w:rsid w:val="71CA25C3"/>
    <w:rsid w:val="71ED6CDC"/>
    <w:rsid w:val="72751F67"/>
    <w:rsid w:val="72757DD5"/>
    <w:rsid w:val="72BF7C4E"/>
    <w:rsid w:val="72CB1A81"/>
    <w:rsid w:val="731A6C2D"/>
    <w:rsid w:val="733931EB"/>
    <w:rsid w:val="737522D6"/>
    <w:rsid w:val="7386199C"/>
    <w:rsid w:val="738657CF"/>
    <w:rsid w:val="74D878B7"/>
    <w:rsid w:val="75442A3D"/>
    <w:rsid w:val="759240E7"/>
    <w:rsid w:val="759728B0"/>
    <w:rsid w:val="75B72D06"/>
    <w:rsid w:val="75BB00F6"/>
    <w:rsid w:val="75C75403"/>
    <w:rsid w:val="75DB4648"/>
    <w:rsid w:val="761C5B88"/>
    <w:rsid w:val="76D94390"/>
    <w:rsid w:val="76FE4574"/>
    <w:rsid w:val="77186C08"/>
    <w:rsid w:val="77633F56"/>
    <w:rsid w:val="77634C90"/>
    <w:rsid w:val="777A1894"/>
    <w:rsid w:val="778B0256"/>
    <w:rsid w:val="7820372B"/>
    <w:rsid w:val="782136F5"/>
    <w:rsid w:val="78AA58E8"/>
    <w:rsid w:val="79081359"/>
    <w:rsid w:val="795C548D"/>
    <w:rsid w:val="79750736"/>
    <w:rsid w:val="7A1E16FE"/>
    <w:rsid w:val="7A3B400E"/>
    <w:rsid w:val="7A5D1C0F"/>
    <w:rsid w:val="7A745196"/>
    <w:rsid w:val="7AC93DF7"/>
    <w:rsid w:val="7B3679EC"/>
    <w:rsid w:val="7B3A3295"/>
    <w:rsid w:val="7B6F03AF"/>
    <w:rsid w:val="7BE75C70"/>
    <w:rsid w:val="7BF907C1"/>
    <w:rsid w:val="7C131FBC"/>
    <w:rsid w:val="7C207E72"/>
    <w:rsid w:val="7C4003DA"/>
    <w:rsid w:val="7C594C70"/>
    <w:rsid w:val="7CE3536B"/>
    <w:rsid w:val="7D000441"/>
    <w:rsid w:val="7D6E2758"/>
    <w:rsid w:val="7DE1316F"/>
    <w:rsid w:val="7F0E5140"/>
    <w:rsid w:val="7FA61B64"/>
    <w:rsid w:val="7FC124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5pt" color="#000000" dashstyle="dashDot" endarrow="block"/>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qFormat="1" w:unhideWhenUsed="0" w:uiPriority="0" w:semiHidden="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jc w:val="center"/>
      <w:outlineLvl w:val="1"/>
    </w:pPr>
    <w:rPr>
      <w:rFonts w:ascii="宋体" w:hAnsi="宋体"/>
      <w:sz w:val="28"/>
      <w:szCs w:val="20"/>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paragraph" w:styleId="7">
    <w:name w:val="heading 4"/>
    <w:basedOn w:val="1"/>
    <w:next w:val="1"/>
    <w:qFormat/>
    <w:uiPriority w:val="0"/>
    <w:pPr>
      <w:keepNext/>
      <w:keepLines/>
      <w:tabs>
        <w:tab w:val="left" w:pos="2976"/>
      </w:tabs>
      <w:spacing w:before="280" w:after="290" w:line="376" w:lineRule="auto"/>
      <w:ind w:left="2551"/>
      <w:outlineLvl w:val="3"/>
    </w:pPr>
    <w:rPr>
      <w:rFonts w:ascii="Arial" w:hAnsi="Arial" w:eastAsia="黑体"/>
      <w:b/>
      <w:bCs/>
      <w:sz w:val="28"/>
      <w:szCs w:val="28"/>
    </w:rPr>
  </w:style>
  <w:style w:type="paragraph" w:styleId="8">
    <w:name w:val="heading 5"/>
    <w:basedOn w:val="1"/>
    <w:next w:val="1"/>
    <w:qFormat/>
    <w:uiPriority w:val="0"/>
    <w:pPr>
      <w:keepNext/>
      <w:keepLines/>
      <w:tabs>
        <w:tab w:val="left" w:pos="3827"/>
      </w:tabs>
      <w:spacing w:before="280" w:after="290" w:line="376" w:lineRule="auto"/>
      <w:ind w:left="3402"/>
      <w:outlineLvl w:val="4"/>
    </w:pPr>
    <w:rPr>
      <w:b/>
      <w:bCs/>
      <w:sz w:val="28"/>
      <w:szCs w:val="28"/>
    </w:rPr>
  </w:style>
  <w:style w:type="paragraph" w:styleId="9">
    <w:name w:val="heading 6"/>
    <w:basedOn w:val="1"/>
    <w:next w:val="1"/>
    <w:qFormat/>
    <w:uiPriority w:val="0"/>
    <w:pPr>
      <w:keepNext/>
      <w:keepLines/>
      <w:tabs>
        <w:tab w:val="left" w:pos="4677"/>
      </w:tabs>
      <w:spacing w:before="240" w:after="64" w:line="320" w:lineRule="auto"/>
      <w:ind w:left="4252"/>
      <w:outlineLvl w:val="5"/>
    </w:pPr>
    <w:rPr>
      <w:rFonts w:ascii="Arial" w:hAnsi="Arial" w:eastAsia="黑体"/>
      <w:b/>
      <w:bCs/>
      <w:sz w:val="24"/>
    </w:rPr>
  </w:style>
  <w:style w:type="paragraph" w:styleId="10">
    <w:name w:val="heading 7"/>
    <w:basedOn w:val="1"/>
    <w:next w:val="1"/>
    <w:qFormat/>
    <w:uiPriority w:val="0"/>
    <w:pPr>
      <w:keepNext/>
      <w:keepLines/>
      <w:tabs>
        <w:tab w:val="left" w:pos="5528"/>
      </w:tabs>
      <w:spacing w:before="240" w:after="64" w:line="320" w:lineRule="auto"/>
      <w:ind w:left="5102"/>
      <w:outlineLvl w:val="6"/>
    </w:pPr>
    <w:rPr>
      <w:b/>
      <w:bCs/>
      <w:sz w:val="24"/>
    </w:rPr>
  </w:style>
  <w:style w:type="paragraph" w:styleId="11">
    <w:name w:val="heading 8"/>
    <w:basedOn w:val="1"/>
    <w:next w:val="1"/>
    <w:qFormat/>
    <w:uiPriority w:val="0"/>
    <w:pPr>
      <w:keepNext/>
      <w:keepLines/>
      <w:tabs>
        <w:tab w:val="left" w:pos="6378"/>
      </w:tabs>
      <w:spacing w:before="240" w:after="64" w:line="320" w:lineRule="auto"/>
      <w:ind w:left="5953"/>
      <w:outlineLvl w:val="7"/>
    </w:pPr>
    <w:rPr>
      <w:rFonts w:ascii="Arial" w:hAnsi="Arial" w:eastAsia="黑体"/>
      <w:sz w:val="24"/>
    </w:rPr>
  </w:style>
  <w:style w:type="paragraph" w:styleId="12">
    <w:name w:val="heading 9"/>
    <w:basedOn w:val="1"/>
    <w:next w:val="1"/>
    <w:qFormat/>
    <w:uiPriority w:val="0"/>
    <w:pPr>
      <w:keepNext/>
      <w:keepLines/>
      <w:tabs>
        <w:tab w:val="left" w:pos="7228"/>
      </w:tabs>
      <w:spacing w:before="240" w:after="64" w:line="320" w:lineRule="auto"/>
      <w:ind w:left="6803"/>
      <w:outlineLvl w:val="8"/>
    </w:pPr>
    <w:rPr>
      <w:rFonts w:ascii="Arial" w:hAnsi="Arial" w:eastAsia="黑体"/>
      <w:szCs w:val="21"/>
    </w:rPr>
  </w:style>
  <w:style w:type="character" w:default="1" w:styleId="36">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semiHidden/>
    <w:unhideWhenUsed/>
    <w:qFormat/>
    <w:uiPriority w:val="99"/>
    <w:pPr>
      <w:ind w:firstLine="420" w:firstLineChars="200"/>
    </w:pPr>
  </w:style>
  <w:style w:type="paragraph" w:styleId="3">
    <w:name w:val="Body Text Indent"/>
    <w:basedOn w:val="1"/>
    <w:qFormat/>
    <w:uiPriority w:val="0"/>
    <w:pPr>
      <w:spacing w:line="360" w:lineRule="auto"/>
      <w:ind w:firstLine="435"/>
    </w:pPr>
  </w:style>
  <w:style w:type="paragraph" w:styleId="13">
    <w:name w:val="Normal Indent"/>
    <w:basedOn w:val="1"/>
    <w:link w:val="79"/>
    <w:qFormat/>
    <w:uiPriority w:val="0"/>
    <w:pPr>
      <w:ind w:firstLine="420" w:firstLineChars="200"/>
    </w:pPr>
  </w:style>
  <w:style w:type="paragraph" w:styleId="14">
    <w:name w:val="Document Map"/>
    <w:basedOn w:val="1"/>
    <w:qFormat/>
    <w:uiPriority w:val="0"/>
    <w:pPr>
      <w:shd w:val="clear" w:color="auto" w:fill="000080"/>
    </w:pPr>
  </w:style>
  <w:style w:type="paragraph" w:styleId="15">
    <w:name w:val="annotation text"/>
    <w:basedOn w:val="1"/>
    <w:semiHidden/>
    <w:qFormat/>
    <w:uiPriority w:val="0"/>
    <w:pPr>
      <w:jc w:val="left"/>
    </w:pPr>
  </w:style>
  <w:style w:type="paragraph" w:styleId="16">
    <w:name w:val="Body Text 3"/>
    <w:basedOn w:val="1"/>
    <w:link w:val="91"/>
    <w:qFormat/>
    <w:uiPriority w:val="0"/>
    <w:pPr>
      <w:spacing w:line="360" w:lineRule="auto"/>
    </w:pPr>
    <w:rPr>
      <w:color w:val="FF0000"/>
    </w:rPr>
  </w:style>
  <w:style w:type="paragraph" w:styleId="17">
    <w:name w:val="Body Text"/>
    <w:basedOn w:val="1"/>
    <w:next w:val="1"/>
    <w:qFormat/>
    <w:uiPriority w:val="0"/>
    <w:pPr>
      <w:jc w:val="center"/>
    </w:pPr>
    <w:rPr>
      <w:sz w:val="24"/>
      <w:szCs w:val="20"/>
    </w:rPr>
  </w:style>
  <w:style w:type="paragraph" w:styleId="18">
    <w:name w:val="Block Text"/>
    <w:basedOn w:val="1"/>
    <w:qFormat/>
    <w:uiPriority w:val="0"/>
    <w:pPr>
      <w:spacing w:beforeLines="30" w:afterLines="30"/>
      <w:ind w:left="239" w:leftChars="114" w:right="-34" w:firstLine="420" w:firstLineChars="200"/>
    </w:pPr>
  </w:style>
  <w:style w:type="paragraph" w:styleId="19">
    <w:name w:val="Plain Text"/>
    <w:basedOn w:val="1"/>
    <w:link w:val="66"/>
    <w:qFormat/>
    <w:uiPriority w:val="99"/>
    <w:pPr>
      <w:adjustRightInd w:val="0"/>
      <w:spacing w:before="120" w:line="400" w:lineRule="exact"/>
      <w:textAlignment w:val="baseline"/>
    </w:pPr>
    <w:rPr>
      <w:rFonts w:ascii="宋体" w:hAnsi="Courier New"/>
      <w:spacing w:val="-2"/>
      <w:kern w:val="28"/>
      <w:szCs w:val="20"/>
    </w:rPr>
  </w:style>
  <w:style w:type="paragraph" w:styleId="20">
    <w:name w:val="Date"/>
    <w:basedOn w:val="1"/>
    <w:next w:val="1"/>
    <w:qFormat/>
    <w:uiPriority w:val="0"/>
    <w:pPr>
      <w:ind w:left="100" w:leftChars="2500"/>
    </w:pPr>
  </w:style>
  <w:style w:type="paragraph" w:styleId="21">
    <w:name w:val="Body Text Indent 2"/>
    <w:basedOn w:val="1"/>
    <w:qFormat/>
    <w:uiPriority w:val="0"/>
    <w:pPr>
      <w:spacing w:line="360" w:lineRule="auto"/>
      <w:ind w:firstLine="560" w:firstLineChars="200"/>
    </w:pPr>
    <w:rPr>
      <w:sz w:val="28"/>
    </w:rPr>
  </w:style>
  <w:style w:type="paragraph" w:styleId="22">
    <w:name w:val="Balloon Text"/>
    <w:basedOn w:val="1"/>
    <w:semiHidden/>
    <w:qFormat/>
    <w:uiPriority w:val="0"/>
    <w:rPr>
      <w:sz w:val="18"/>
      <w:szCs w:val="18"/>
    </w:rPr>
  </w:style>
  <w:style w:type="paragraph" w:styleId="23">
    <w:name w:val="footer"/>
    <w:basedOn w:val="1"/>
    <w:link w:val="119"/>
    <w:qFormat/>
    <w:uiPriority w:val="99"/>
    <w:pPr>
      <w:tabs>
        <w:tab w:val="center" w:pos="4153"/>
        <w:tab w:val="right" w:pos="8306"/>
      </w:tabs>
      <w:snapToGrid w:val="0"/>
      <w:ind w:left="6867" w:hanging="6867" w:hangingChars="3800"/>
      <w:jc w:val="left"/>
    </w:pPr>
    <w:rPr>
      <w:b/>
      <w:kern w:val="0"/>
      <w:sz w:val="18"/>
      <w:szCs w:val="21"/>
    </w:rPr>
  </w:style>
  <w:style w:type="paragraph" w:styleId="24">
    <w:name w:val="header"/>
    <w:basedOn w:val="1"/>
    <w:link w:val="44"/>
    <w:qFormat/>
    <w:uiPriority w:val="99"/>
    <w:pPr>
      <w:pBdr>
        <w:bottom w:val="single" w:color="auto" w:sz="6" w:space="1"/>
      </w:pBdr>
      <w:tabs>
        <w:tab w:val="center" w:pos="4153"/>
        <w:tab w:val="right" w:pos="8306"/>
      </w:tabs>
      <w:snapToGrid w:val="0"/>
      <w:jc w:val="center"/>
    </w:pPr>
    <w:rPr>
      <w:sz w:val="18"/>
      <w:szCs w:val="20"/>
    </w:rPr>
  </w:style>
  <w:style w:type="paragraph" w:styleId="25">
    <w:name w:val="toc 1"/>
    <w:basedOn w:val="1"/>
    <w:next w:val="1"/>
    <w:qFormat/>
    <w:uiPriority w:val="39"/>
    <w:pPr>
      <w:tabs>
        <w:tab w:val="right" w:leader="dot" w:pos="9628"/>
      </w:tabs>
      <w:spacing w:line="480" w:lineRule="auto"/>
    </w:pPr>
    <w:rPr>
      <w:rFonts w:ascii="宋体" w:hAnsi="宋体"/>
      <w:color w:val="000000"/>
      <w:sz w:val="24"/>
      <w:szCs w:val="28"/>
    </w:rPr>
  </w:style>
  <w:style w:type="paragraph" w:styleId="26">
    <w:name w:val="List"/>
    <w:basedOn w:val="1"/>
    <w:qFormat/>
    <w:uiPriority w:val="0"/>
    <w:pPr>
      <w:ind w:left="200" w:hanging="200" w:hangingChars="200"/>
    </w:pPr>
    <w:rPr>
      <w:sz w:val="24"/>
      <w:szCs w:val="20"/>
    </w:rPr>
  </w:style>
  <w:style w:type="paragraph" w:styleId="27">
    <w:name w:val="Body Text Indent 3"/>
    <w:basedOn w:val="1"/>
    <w:qFormat/>
    <w:uiPriority w:val="0"/>
    <w:pPr>
      <w:spacing w:line="360" w:lineRule="auto"/>
      <w:ind w:firstLine="480"/>
    </w:pPr>
    <w:rPr>
      <w:sz w:val="24"/>
    </w:rPr>
  </w:style>
  <w:style w:type="paragraph" w:styleId="28">
    <w:name w:val="toc 2"/>
    <w:basedOn w:val="1"/>
    <w:next w:val="1"/>
    <w:qFormat/>
    <w:uiPriority w:val="39"/>
    <w:pPr>
      <w:tabs>
        <w:tab w:val="right" w:leader="dot" w:pos="9628"/>
      </w:tabs>
      <w:spacing w:line="480" w:lineRule="auto"/>
      <w:ind w:left="420" w:leftChars="200"/>
    </w:pPr>
  </w:style>
  <w:style w:type="paragraph" w:styleId="29">
    <w:name w:val="Body Text 2"/>
    <w:basedOn w:val="1"/>
    <w:qFormat/>
    <w:uiPriority w:val="0"/>
    <w:pPr>
      <w:spacing w:after="120" w:line="480" w:lineRule="auto"/>
    </w:pPr>
  </w:style>
  <w:style w:type="paragraph" w:styleId="30">
    <w:name w:val="Normal (Web)"/>
    <w:basedOn w:val="1"/>
    <w:qFormat/>
    <w:uiPriority w:val="0"/>
    <w:pPr>
      <w:widowControl/>
      <w:jc w:val="left"/>
    </w:pPr>
    <w:rPr>
      <w:rFonts w:ascii="宋体" w:hAnsi="宋体"/>
      <w:kern w:val="0"/>
      <w:sz w:val="24"/>
    </w:rPr>
  </w:style>
  <w:style w:type="paragraph" w:styleId="31">
    <w:name w:val="annotation subject"/>
    <w:basedOn w:val="15"/>
    <w:next w:val="15"/>
    <w:semiHidden/>
    <w:qFormat/>
    <w:uiPriority w:val="0"/>
    <w:rPr>
      <w:b/>
      <w:bCs/>
    </w:rPr>
  </w:style>
  <w:style w:type="paragraph" w:styleId="32">
    <w:name w:val="Body Text First Indent"/>
    <w:basedOn w:val="17"/>
    <w:link w:val="93"/>
    <w:qFormat/>
    <w:uiPriority w:val="0"/>
    <w:pPr>
      <w:spacing w:after="120"/>
      <w:ind w:firstLine="420" w:firstLineChars="100"/>
      <w:jc w:val="both"/>
    </w:pPr>
    <w:rPr>
      <w:sz w:val="21"/>
      <w:szCs w:val="24"/>
    </w:rPr>
  </w:style>
  <w:style w:type="table" w:styleId="34">
    <w:name w:val="Table Grid"/>
    <w:basedOn w:val="3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5">
    <w:name w:val="Table Grid 2"/>
    <w:basedOn w:val="33"/>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character" w:styleId="37">
    <w:name w:val="Strong"/>
    <w:qFormat/>
    <w:uiPriority w:val="0"/>
    <w:rPr>
      <w:b/>
      <w:bCs/>
    </w:rPr>
  </w:style>
  <w:style w:type="character" w:styleId="38">
    <w:name w:val="page number"/>
    <w:basedOn w:val="36"/>
    <w:qFormat/>
    <w:uiPriority w:val="0"/>
  </w:style>
  <w:style w:type="character" w:styleId="39">
    <w:name w:val="FollowedHyperlink"/>
    <w:qFormat/>
    <w:uiPriority w:val="0"/>
    <w:rPr>
      <w:color w:val="800080"/>
      <w:u w:val="single"/>
    </w:rPr>
  </w:style>
  <w:style w:type="character" w:styleId="40">
    <w:name w:val="Emphasis"/>
    <w:qFormat/>
    <w:uiPriority w:val="0"/>
    <w:rPr>
      <w:color w:val="CC0000"/>
    </w:rPr>
  </w:style>
  <w:style w:type="character" w:styleId="41">
    <w:name w:val="Hyperlink"/>
    <w:qFormat/>
    <w:uiPriority w:val="99"/>
    <w:rPr>
      <w:color w:val="261CDC"/>
      <w:u w:val="single"/>
    </w:rPr>
  </w:style>
  <w:style w:type="character" w:styleId="42">
    <w:name w:val="annotation reference"/>
    <w:semiHidden/>
    <w:qFormat/>
    <w:uiPriority w:val="0"/>
    <w:rPr>
      <w:sz w:val="21"/>
      <w:szCs w:val="21"/>
    </w:rPr>
  </w:style>
  <w:style w:type="character" w:customStyle="1" w:styleId="43">
    <w:name w:val="style21"/>
    <w:basedOn w:val="36"/>
    <w:qFormat/>
    <w:uiPriority w:val="0"/>
  </w:style>
  <w:style w:type="character" w:customStyle="1" w:styleId="44">
    <w:name w:val="页眉 Char1"/>
    <w:link w:val="24"/>
    <w:qFormat/>
    <w:uiPriority w:val="99"/>
    <w:rPr>
      <w:kern w:val="2"/>
      <w:sz w:val="18"/>
      <w:lang w:val="en-US" w:eastAsia="zh-CN"/>
    </w:rPr>
  </w:style>
  <w:style w:type="character" w:customStyle="1" w:styleId="45">
    <w:name w:val="p14"/>
    <w:basedOn w:val="36"/>
    <w:qFormat/>
    <w:uiPriority w:val="0"/>
  </w:style>
  <w:style w:type="paragraph" w:customStyle="1" w:styleId="46">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47">
    <w:name w:val="表格文字"/>
    <w:basedOn w:val="1"/>
    <w:link w:val="83"/>
    <w:qFormat/>
    <w:uiPriority w:val="0"/>
    <w:pPr>
      <w:jc w:val="center"/>
    </w:pPr>
    <w:rPr>
      <w:rFonts w:ascii="仿宋_GB2312" w:hAnsi="Arial Black" w:eastAsia="仿宋_GB2312"/>
      <w:kern w:val="44"/>
      <w:sz w:val="24"/>
      <w:szCs w:val="20"/>
    </w:rPr>
  </w:style>
  <w:style w:type="paragraph" w:customStyle="1" w:styleId="48">
    <w:name w:val="简单回函地址"/>
    <w:basedOn w:val="1"/>
    <w:qFormat/>
    <w:uiPriority w:val="0"/>
    <w:pPr>
      <w:adjustRightInd w:val="0"/>
      <w:textAlignment w:val="baseline"/>
    </w:pPr>
    <w:rPr>
      <w:szCs w:val="20"/>
    </w:rPr>
  </w:style>
  <w:style w:type="paragraph" w:customStyle="1" w:styleId="49">
    <w:name w:val="1 Char Char Char Char Char"/>
    <w:basedOn w:val="1"/>
    <w:qFormat/>
    <w:uiPriority w:val="0"/>
    <w:rPr>
      <w:sz w:val="24"/>
    </w:rPr>
  </w:style>
  <w:style w:type="paragraph" w:customStyle="1" w:styleId="50">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51">
    <w:name w:val="Char"/>
    <w:basedOn w:val="1"/>
    <w:qFormat/>
    <w:uiPriority w:val="0"/>
    <w:rPr>
      <w:szCs w:val="21"/>
    </w:rPr>
  </w:style>
  <w:style w:type="paragraph" w:customStyle="1" w:styleId="5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3">
    <w:name w:val="表头1"/>
    <w:basedOn w:val="1"/>
    <w:qFormat/>
    <w:uiPriority w:val="0"/>
    <w:pPr>
      <w:tabs>
        <w:tab w:val="left" w:pos="5280"/>
      </w:tabs>
      <w:adjustRightInd w:val="0"/>
      <w:spacing w:before="120" w:line="300" w:lineRule="auto"/>
      <w:ind w:firstLine="1000" w:firstLineChars="500"/>
      <w:textAlignment w:val="baseline"/>
    </w:pPr>
    <w:rPr>
      <w:rFonts w:ascii="黑体" w:eastAsia="黑体"/>
      <w:spacing w:val="-20"/>
      <w:kern w:val="16"/>
      <w:sz w:val="24"/>
      <w:szCs w:val="20"/>
    </w:rPr>
  </w:style>
  <w:style w:type="paragraph" w:customStyle="1" w:styleId="54">
    <w:name w:val="样式 标题 1 + 加粗"/>
    <w:basedOn w:val="4"/>
    <w:qFormat/>
    <w:uiPriority w:val="0"/>
    <w:pPr>
      <w:snapToGrid w:val="0"/>
      <w:spacing w:before="0" w:after="0" w:line="360" w:lineRule="auto"/>
    </w:pPr>
    <w:rPr>
      <w:sz w:val="24"/>
      <w:szCs w:val="24"/>
    </w:rPr>
  </w:style>
  <w:style w:type="paragraph" w:customStyle="1" w:styleId="55">
    <w:name w:val="文本框"/>
    <w:basedOn w:val="1"/>
    <w:qFormat/>
    <w:uiPriority w:val="0"/>
    <w:pPr>
      <w:spacing w:line="240" w:lineRule="atLeast"/>
    </w:pPr>
    <w:rPr>
      <w:rFonts w:ascii="宋体"/>
      <w:szCs w:val="20"/>
    </w:rPr>
  </w:style>
  <w:style w:type="paragraph" w:customStyle="1" w:styleId="56">
    <w:name w:val="表格式"/>
    <w:basedOn w:val="26"/>
    <w:qFormat/>
    <w:uiPriority w:val="0"/>
    <w:pPr>
      <w:spacing w:line="400" w:lineRule="exact"/>
      <w:ind w:left="0" w:firstLine="0" w:firstLineChars="0"/>
      <w:jc w:val="center"/>
    </w:pPr>
    <w:rPr>
      <w:rFonts w:ascii="宋体"/>
      <w:sz w:val="21"/>
    </w:rPr>
  </w:style>
  <w:style w:type="character" w:customStyle="1" w:styleId="57">
    <w:name w:val="contents"/>
    <w:basedOn w:val="36"/>
    <w:qFormat/>
    <w:uiPriority w:val="0"/>
  </w:style>
  <w:style w:type="paragraph" w:customStyle="1" w:styleId="58">
    <w:name w:val="Char Char Char Char Char Char Char"/>
    <w:basedOn w:val="1"/>
    <w:qFormat/>
    <w:uiPriority w:val="0"/>
    <w:rPr>
      <w:sz w:val="24"/>
    </w:rPr>
  </w:style>
  <w:style w:type="character" w:customStyle="1" w:styleId="59">
    <w:name w:val="f141"/>
    <w:qFormat/>
    <w:uiPriority w:val="0"/>
    <w:rPr>
      <w:sz w:val="21"/>
      <w:szCs w:val="21"/>
    </w:rPr>
  </w:style>
  <w:style w:type="paragraph" w:customStyle="1" w:styleId="60">
    <w:name w:val="5 Char"/>
    <w:basedOn w:val="1"/>
    <w:qFormat/>
    <w:uiPriority w:val="0"/>
    <w:rPr>
      <w:sz w:val="24"/>
    </w:rPr>
  </w:style>
  <w:style w:type="paragraph" w:customStyle="1" w:styleId="61">
    <w:name w:val="样式1"/>
    <w:basedOn w:val="1"/>
    <w:qFormat/>
    <w:uiPriority w:val="0"/>
    <w:pPr>
      <w:adjustRightInd w:val="0"/>
      <w:spacing w:line="360" w:lineRule="exact"/>
      <w:ind w:firstLine="480" w:firstLineChars="200"/>
      <w:jc w:val="left"/>
      <w:textAlignment w:val="baseline"/>
    </w:pPr>
    <w:rPr>
      <w:sz w:val="24"/>
      <w:szCs w:val="20"/>
    </w:rPr>
  </w:style>
  <w:style w:type="paragraph" w:customStyle="1" w:styleId="62">
    <w:name w:val="页末正文"/>
    <w:basedOn w:val="1"/>
    <w:qFormat/>
    <w:uiPriority w:val="0"/>
    <w:pPr>
      <w:spacing w:after="240" w:line="480" w:lineRule="exact"/>
      <w:ind w:firstLine="560" w:firstLineChars="200"/>
    </w:pPr>
    <w:rPr>
      <w:rFonts w:eastAsia="楷体_GB2312"/>
      <w:color w:val="000000"/>
      <w:sz w:val="28"/>
      <w:szCs w:val="20"/>
    </w:rPr>
  </w:style>
  <w:style w:type="paragraph" w:customStyle="1" w:styleId="63">
    <w:name w:val="表格内文字"/>
    <w:basedOn w:val="1"/>
    <w:link w:val="64"/>
    <w:qFormat/>
    <w:uiPriority w:val="0"/>
    <w:pPr>
      <w:tabs>
        <w:tab w:val="left" w:pos="0"/>
      </w:tabs>
      <w:adjustRightInd w:val="0"/>
      <w:snapToGrid w:val="0"/>
      <w:jc w:val="center"/>
    </w:pPr>
    <w:rPr>
      <w:rFonts w:eastAsia="仿宋_GB2312"/>
      <w:sz w:val="24"/>
    </w:rPr>
  </w:style>
  <w:style w:type="character" w:customStyle="1" w:styleId="64">
    <w:name w:val="表格内文字 Char"/>
    <w:link w:val="63"/>
    <w:qFormat/>
    <w:uiPriority w:val="0"/>
    <w:rPr>
      <w:rFonts w:eastAsia="仿宋_GB2312"/>
      <w:kern w:val="2"/>
      <w:sz w:val="24"/>
      <w:szCs w:val="24"/>
      <w:lang w:val="en-US" w:eastAsia="zh-CN" w:bidi="ar-SA"/>
    </w:rPr>
  </w:style>
  <w:style w:type="table" w:customStyle="1" w:styleId="65">
    <w:name w:val="表格样式1"/>
    <w:basedOn w:val="33"/>
    <w:qFormat/>
    <w:uiPriority w:val="0"/>
    <w:pPr>
      <w:jc w:val="center"/>
    </w:pPr>
    <w:rPr>
      <w:sz w:val="21"/>
    </w:rPr>
    <w:tblP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character" w:customStyle="1" w:styleId="66">
    <w:name w:val="纯文本 Char"/>
    <w:link w:val="19"/>
    <w:qFormat/>
    <w:uiPriority w:val="99"/>
    <w:rPr>
      <w:rFonts w:ascii="宋体" w:hAnsi="Courier New" w:eastAsia="宋体"/>
      <w:spacing w:val="-2"/>
      <w:kern w:val="28"/>
      <w:sz w:val="21"/>
      <w:lang w:val="en-US" w:eastAsia="zh-CN" w:bidi="ar-SA"/>
    </w:rPr>
  </w:style>
  <w:style w:type="paragraph" w:customStyle="1" w:styleId="67">
    <w:name w:val="正文格式"/>
    <w:basedOn w:val="1"/>
    <w:qFormat/>
    <w:uiPriority w:val="0"/>
    <w:pPr>
      <w:ind w:firstLine="560" w:firstLineChars="200"/>
    </w:pPr>
    <w:rPr>
      <w:rFonts w:eastAsia="楷体_GB2312"/>
      <w:sz w:val="28"/>
      <w:szCs w:val="20"/>
    </w:rPr>
  </w:style>
  <w:style w:type="paragraph" w:customStyle="1" w:styleId="68">
    <w:name w:val="环表头"/>
    <w:basedOn w:val="1"/>
    <w:next w:val="1"/>
    <w:link w:val="77"/>
    <w:qFormat/>
    <w:uiPriority w:val="0"/>
    <w:pPr>
      <w:suppressAutoHyphens/>
      <w:adjustRightInd w:val="0"/>
      <w:spacing w:before="60" w:after="60"/>
      <w:ind w:right="28"/>
      <w:jc w:val="center"/>
      <w:textAlignment w:val="baseline"/>
    </w:pPr>
    <w:rPr>
      <w:rFonts w:ascii="楷体_GB2312" w:hAnsi="宋体" w:eastAsia="楷体_GB2312"/>
      <w:b/>
      <w:color w:val="000000"/>
      <w:sz w:val="24"/>
    </w:rPr>
  </w:style>
  <w:style w:type="paragraph" w:customStyle="1" w:styleId="69">
    <w:name w:val="环标3"/>
    <w:basedOn w:val="1"/>
    <w:qFormat/>
    <w:uiPriority w:val="0"/>
    <w:pPr>
      <w:widowControl/>
      <w:tabs>
        <w:tab w:val="left" w:pos="5094"/>
      </w:tabs>
      <w:adjustRightInd w:val="0"/>
      <w:snapToGrid w:val="0"/>
      <w:spacing w:line="500" w:lineRule="exact"/>
      <w:ind w:left="120" w:leftChars="57" w:firstLine="474" w:firstLineChars="173"/>
      <w:textAlignment w:val="baseline"/>
    </w:pPr>
    <w:rPr>
      <w:rFonts w:ascii="宋体" w:hAnsi="宋体"/>
      <w:kern w:val="24"/>
      <w:sz w:val="24"/>
    </w:rPr>
  </w:style>
  <w:style w:type="paragraph" w:customStyle="1" w:styleId="70">
    <w:name w:val="列出段落1"/>
    <w:basedOn w:val="1"/>
    <w:qFormat/>
    <w:uiPriority w:val="0"/>
    <w:pPr>
      <w:ind w:firstLine="420" w:firstLineChars="200"/>
    </w:pPr>
    <w:rPr>
      <w:rFonts w:ascii="Calibri" w:hAnsi="Calibri"/>
      <w:szCs w:val="22"/>
    </w:rPr>
  </w:style>
  <w:style w:type="character" w:customStyle="1" w:styleId="71">
    <w:name w:val="f14"/>
    <w:basedOn w:val="36"/>
    <w:qFormat/>
    <w:uiPriority w:val="0"/>
  </w:style>
  <w:style w:type="paragraph" w:customStyle="1" w:styleId="72">
    <w:name w:val="Char Char Char1 Char Char Char Char Char Char Char Char Char Char Char Char Char"/>
    <w:basedOn w:val="1"/>
    <w:qFormat/>
    <w:uiPriority w:val="0"/>
    <w:rPr>
      <w:szCs w:val="21"/>
    </w:rPr>
  </w:style>
  <w:style w:type="paragraph" w:customStyle="1" w:styleId="73">
    <w:name w:val="环评正文"/>
    <w:basedOn w:val="1"/>
    <w:qFormat/>
    <w:uiPriority w:val="0"/>
    <w:pPr>
      <w:adjustRightInd w:val="0"/>
      <w:snapToGrid w:val="0"/>
      <w:spacing w:line="360" w:lineRule="auto"/>
      <w:ind w:firstLine="480" w:firstLineChars="200"/>
    </w:pPr>
    <w:rPr>
      <w:sz w:val="24"/>
      <w:szCs w:val="20"/>
    </w:rPr>
  </w:style>
  <w:style w:type="paragraph" w:customStyle="1" w:styleId="74">
    <w:name w:val="Char Char Char Char Char Char Char Char Char Char Char Char"/>
    <w:basedOn w:val="1"/>
    <w:qFormat/>
    <w:uiPriority w:val="0"/>
    <w:rPr>
      <w:szCs w:val="21"/>
    </w:rPr>
  </w:style>
  <w:style w:type="paragraph" w:customStyle="1" w:styleId="75">
    <w:name w:val="环正文"/>
    <w:basedOn w:val="1"/>
    <w:link w:val="76"/>
    <w:qFormat/>
    <w:uiPriority w:val="0"/>
    <w:pPr>
      <w:suppressAutoHyphens/>
      <w:adjustRightInd w:val="0"/>
      <w:spacing w:line="360" w:lineRule="auto"/>
      <w:ind w:firstLine="480" w:firstLineChars="200"/>
      <w:textAlignment w:val="baseline"/>
    </w:pPr>
    <w:rPr>
      <w:kern w:val="0"/>
      <w:sz w:val="24"/>
    </w:rPr>
  </w:style>
  <w:style w:type="character" w:customStyle="1" w:styleId="76">
    <w:name w:val="环正文 Char1"/>
    <w:link w:val="75"/>
    <w:qFormat/>
    <w:uiPriority w:val="0"/>
    <w:rPr>
      <w:rFonts w:eastAsia="宋体"/>
      <w:sz w:val="24"/>
      <w:szCs w:val="24"/>
      <w:lang w:val="en-US" w:eastAsia="zh-CN" w:bidi="ar-SA"/>
    </w:rPr>
  </w:style>
  <w:style w:type="character" w:customStyle="1" w:styleId="77">
    <w:name w:val="环表头 Char"/>
    <w:link w:val="68"/>
    <w:qFormat/>
    <w:uiPriority w:val="0"/>
    <w:rPr>
      <w:rFonts w:ascii="楷体_GB2312" w:hAnsi="宋体" w:eastAsia="楷体_GB2312"/>
      <w:b/>
      <w:color w:val="000000"/>
      <w:kern w:val="2"/>
      <w:sz w:val="24"/>
      <w:szCs w:val="24"/>
      <w:lang w:val="en-US" w:eastAsia="zh-CN" w:bidi="ar-SA"/>
    </w:rPr>
  </w:style>
  <w:style w:type="character" w:customStyle="1" w:styleId="78">
    <w:name w:val="m11"/>
    <w:qFormat/>
    <w:uiPriority w:val="0"/>
    <w:rPr>
      <w:sz w:val="18"/>
      <w:szCs w:val="18"/>
    </w:rPr>
  </w:style>
  <w:style w:type="character" w:customStyle="1" w:styleId="79">
    <w:name w:val="正文缩进 Char"/>
    <w:link w:val="13"/>
    <w:qFormat/>
    <w:uiPriority w:val="0"/>
    <w:rPr>
      <w:rFonts w:eastAsia="宋体"/>
      <w:kern w:val="2"/>
      <w:sz w:val="21"/>
      <w:szCs w:val="24"/>
      <w:lang w:val="en-US" w:eastAsia="zh-CN" w:bidi="ar-SA"/>
    </w:rPr>
  </w:style>
  <w:style w:type="paragraph" w:customStyle="1" w:styleId="80">
    <w:name w:val="Char1"/>
    <w:basedOn w:val="1"/>
    <w:qFormat/>
    <w:uiPriority w:val="0"/>
    <w:pPr>
      <w:snapToGrid w:val="0"/>
      <w:spacing w:line="360" w:lineRule="auto"/>
      <w:ind w:firstLine="200" w:firstLineChars="200"/>
    </w:pPr>
    <w:rPr>
      <w:rFonts w:eastAsia="仿宋_GB2312"/>
      <w:sz w:val="24"/>
    </w:rPr>
  </w:style>
  <w:style w:type="paragraph" w:customStyle="1" w:styleId="81">
    <w:name w:val="小四表文左齐"/>
    <w:basedOn w:val="1"/>
    <w:qFormat/>
    <w:uiPriority w:val="0"/>
    <w:pPr>
      <w:adjustRightInd w:val="0"/>
      <w:snapToGrid w:val="0"/>
      <w:jc w:val="center"/>
    </w:pPr>
    <w:rPr>
      <w:rFonts w:ascii="宋体" w:hAnsi="宋体"/>
      <w:szCs w:val="21"/>
    </w:rPr>
  </w:style>
  <w:style w:type="paragraph" w:customStyle="1" w:styleId="82">
    <w:name w:val="Char Char Char"/>
    <w:basedOn w:val="1"/>
    <w:qFormat/>
    <w:uiPriority w:val="0"/>
    <w:rPr>
      <w:sz w:val="24"/>
    </w:rPr>
  </w:style>
  <w:style w:type="character" w:customStyle="1" w:styleId="83">
    <w:name w:val="表格文字 Char"/>
    <w:link w:val="47"/>
    <w:qFormat/>
    <w:uiPriority w:val="0"/>
    <w:rPr>
      <w:rFonts w:ascii="仿宋_GB2312" w:hAnsi="Arial Black" w:eastAsia="仿宋_GB2312"/>
      <w:kern w:val="44"/>
      <w:sz w:val="24"/>
      <w:lang w:val="en-US" w:eastAsia="zh-CN" w:bidi="ar-SA"/>
    </w:rPr>
  </w:style>
  <w:style w:type="paragraph" w:customStyle="1" w:styleId="84">
    <w:name w:val="表格"/>
    <w:basedOn w:val="1"/>
    <w:link w:val="85"/>
    <w:qFormat/>
    <w:uiPriority w:val="0"/>
    <w:pPr>
      <w:jc w:val="center"/>
    </w:pPr>
    <w:rPr>
      <w:bCs/>
      <w:kern w:val="0"/>
      <w:szCs w:val="21"/>
    </w:rPr>
  </w:style>
  <w:style w:type="character" w:customStyle="1" w:styleId="85">
    <w:name w:val="表格 Char"/>
    <w:link w:val="84"/>
    <w:qFormat/>
    <w:uiPriority w:val="0"/>
    <w:rPr>
      <w:rFonts w:eastAsia="宋体"/>
      <w:bCs/>
      <w:sz w:val="21"/>
      <w:szCs w:val="21"/>
      <w:lang w:val="en-US" w:eastAsia="zh-CN" w:bidi="ar-SA"/>
    </w:rPr>
  </w:style>
  <w:style w:type="paragraph" w:customStyle="1" w:styleId="86">
    <w:name w:val="表格/图表标题"/>
    <w:basedOn w:val="1"/>
    <w:next w:val="1"/>
    <w:link w:val="87"/>
    <w:qFormat/>
    <w:uiPriority w:val="0"/>
    <w:pPr>
      <w:spacing w:beforeLines="50"/>
      <w:jc w:val="center"/>
    </w:pPr>
    <w:rPr>
      <w:b/>
      <w:bCs/>
      <w:kern w:val="0"/>
      <w:sz w:val="22"/>
    </w:rPr>
  </w:style>
  <w:style w:type="character" w:customStyle="1" w:styleId="87">
    <w:name w:val="表格/图表标题 Char"/>
    <w:link w:val="86"/>
    <w:qFormat/>
    <w:uiPriority w:val="0"/>
    <w:rPr>
      <w:rFonts w:eastAsia="宋体"/>
      <w:b/>
      <w:bCs/>
      <w:sz w:val="22"/>
      <w:szCs w:val="24"/>
      <w:lang w:val="en-US" w:eastAsia="zh-CN" w:bidi="ar-SA"/>
    </w:rPr>
  </w:style>
  <w:style w:type="character" w:customStyle="1" w:styleId="88">
    <w:name w:val="Char Char1"/>
    <w:semiHidden/>
    <w:qFormat/>
    <w:uiPriority w:val="0"/>
    <w:rPr>
      <w:rFonts w:ascii="宋体" w:hAnsi="Courier New"/>
      <w:kern w:val="2"/>
    </w:rPr>
  </w:style>
  <w:style w:type="paragraph" w:customStyle="1" w:styleId="89">
    <w:name w:val="标题3"/>
    <w:basedOn w:val="1"/>
    <w:qFormat/>
    <w:uiPriority w:val="0"/>
    <w:pPr>
      <w:framePr w:hSpace="181" w:vSpace="181" w:wrap="around" w:vAnchor="text" w:hAnchor="text" w:y="1"/>
      <w:adjustRightInd w:val="0"/>
      <w:snapToGrid w:val="0"/>
      <w:spacing w:afterLines="50"/>
      <w:jc w:val="left"/>
      <w:outlineLvl w:val="2"/>
    </w:pPr>
    <w:rPr>
      <w:rFonts w:ascii="宋体" w:hAnsi="宋体"/>
      <w:b/>
      <w:bCs/>
      <w:spacing w:val="-6"/>
      <w:sz w:val="24"/>
    </w:rPr>
  </w:style>
  <w:style w:type="paragraph" w:customStyle="1" w:styleId="90">
    <w:name w:val="Char2"/>
    <w:basedOn w:val="1"/>
    <w:qFormat/>
    <w:uiPriority w:val="0"/>
    <w:rPr>
      <w:sz w:val="24"/>
    </w:rPr>
  </w:style>
  <w:style w:type="character" w:customStyle="1" w:styleId="91">
    <w:name w:val="正文文本 3 Char"/>
    <w:link w:val="16"/>
    <w:semiHidden/>
    <w:qFormat/>
    <w:uiPriority w:val="0"/>
    <w:rPr>
      <w:rFonts w:eastAsia="宋体"/>
      <w:color w:val="FF0000"/>
      <w:kern w:val="2"/>
      <w:sz w:val="21"/>
      <w:szCs w:val="24"/>
      <w:lang w:val="en-US" w:eastAsia="zh-CN" w:bidi="ar-SA"/>
    </w:rPr>
  </w:style>
  <w:style w:type="paragraph" w:customStyle="1" w:styleId="92">
    <w:name w:val="图文框"/>
    <w:basedOn w:val="1"/>
    <w:qFormat/>
    <w:uiPriority w:val="0"/>
    <w:pPr>
      <w:jc w:val="center"/>
    </w:pPr>
    <w:rPr>
      <w:szCs w:val="20"/>
    </w:rPr>
  </w:style>
  <w:style w:type="character" w:customStyle="1" w:styleId="93">
    <w:name w:val="正文首行缩进 Char"/>
    <w:link w:val="32"/>
    <w:qFormat/>
    <w:uiPriority w:val="0"/>
    <w:rPr>
      <w:rFonts w:eastAsia="宋体"/>
      <w:kern w:val="2"/>
      <w:sz w:val="21"/>
      <w:szCs w:val="24"/>
      <w:lang w:val="en-US" w:eastAsia="zh-CN" w:bidi="ar-SA"/>
    </w:rPr>
  </w:style>
  <w:style w:type="paragraph" w:customStyle="1" w:styleId="94">
    <w:name w:val="6"/>
    <w:basedOn w:val="1"/>
    <w:next w:val="29"/>
    <w:qFormat/>
    <w:uiPriority w:val="0"/>
    <w:pPr>
      <w:spacing w:after="120" w:line="480" w:lineRule="auto"/>
    </w:pPr>
  </w:style>
  <w:style w:type="paragraph" w:customStyle="1" w:styleId="95">
    <w:name w:val="样式 题注"/>
    <w:basedOn w:val="17"/>
    <w:qFormat/>
    <w:uiPriority w:val="0"/>
    <w:pPr>
      <w:spacing w:beforeLines="50" w:afterLines="50"/>
    </w:pPr>
    <w:rPr>
      <w:b/>
      <w:sz w:val="21"/>
      <w:szCs w:val="21"/>
    </w:rPr>
  </w:style>
  <w:style w:type="paragraph" w:customStyle="1" w:styleId="96">
    <w:name w:val="2"/>
    <w:basedOn w:val="1"/>
    <w:next w:val="27"/>
    <w:qFormat/>
    <w:uiPriority w:val="0"/>
    <w:pPr>
      <w:tabs>
        <w:tab w:val="left" w:pos="604"/>
      </w:tabs>
      <w:spacing w:line="360" w:lineRule="auto"/>
      <w:ind w:firstLine="600"/>
    </w:pPr>
    <w:rPr>
      <w:sz w:val="24"/>
    </w:rPr>
  </w:style>
  <w:style w:type="paragraph" w:customStyle="1" w:styleId="97">
    <w:name w:val="Date1"/>
    <w:basedOn w:val="1"/>
    <w:next w:val="1"/>
    <w:qFormat/>
    <w:uiPriority w:val="0"/>
    <w:pPr>
      <w:adjustRightInd w:val="0"/>
      <w:textAlignment w:val="baseline"/>
    </w:pPr>
    <w:rPr>
      <w:szCs w:val="20"/>
    </w:rPr>
  </w:style>
  <w:style w:type="character" w:customStyle="1" w:styleId="98">
    <w:name w:val="Char Char3"/>
    <w:qFormat/>
    <w:uiPriority w:val="0"/>
    <w:rPr>
      <w:kern w:val="2"/>
      <w:sz w:val="18"/>
      <w:szCs w:val="18"/>
    </w:rPr>
  </w:style>
  <w:style w:type="paragraph" w:customStyle="1" w:styleId="99">
    <w:name w:val="新正文"/>
    <w:basedOn w:val="1"/>
    <w:qFormat/>
    <w:uiPriority w:val="0"/>
    <w:pPr>
      <w:spacing w:line="480" w:lineRule="exact"/>
      <w:ind w:firstLine="567"/>
    </w:pPr>
    <w:rPr>
      <w:rFonts w:ascii="仿宋_GB2312" w:eastAsia="仿宋_GB2312"/>
      <w:bCs/>
      <w:kern w:val="0"/>
      <w:sz w:val="28"/>
      <w:szCs w:val="21"/>
    </w:rPr>
  </w:style>
  <w:style w:type="paragraph" w:customStyle="1" w:styleId="100">
    <w:name w:val="表头"/>
    <w:next w:val="1"/>
    <w:link w:val="101"/>
    <w:qFormat/>
    <w:uiPriority w:val="0"/>
    <w:pPr>
      <w:spacing w:line="320" w:lineRule="exact"/>
      <w:jc w:val="center"/>
    </w:pPr>
    <w:rPr>
      <w:rFonts w:ascii="Times New Roman" w:hAnsi="Times New Roman" w:eastAsia="黑体" w:cs="Times New Roman"/>
      <w:spacing w:val="8"/>
      <w:sz w:val="21"/>
      <w:szCs w:val="28"/>
      <w:lang w:val="en-US" w:eastAsia="zh-CN" w:bidi="ar-SA"/>
    </w:rPr>
  </w:style>
  <w:style w:type="character" w:customStyle="1" w:styleId="101">
    <w:name w:val="表头 Char"/>
    <w:link w:val="100"/>
    <w:qFormat/>
    <w:uiPriority w:val="0"/>
    <w:rPr>
      <w:rFonts w:eastAsia="黑体"/>
      <w:spacing w:val="8"/>
      <w:sz w:val="21"/>
      <w:szCs w:val="28"/>
      <w:lang w:val="en-US" w:eastAsia="zh-CN" w:bidi="ar-SA"/>
    </w:rPr>
  </w:style>
  <w:style w:type="paragraph" w:customStyle="1" w:styleId="102">
    <w:name w:val="表蕊居中"/>
    <w:link w:val="103"/>
    <w:qFormat/>
    <w:uiPriority w:val="0"/>
    <w:pPr>
      <w:spacing w:line="320" w:lineRule="exact"/>
      <w:jc w:val="center"/>
    </w:pPr>
    <w:rPr>
      <w:rFonts w:ascii="Times New Roman" w:hAnsi="Times New Roman" w:eastAsia="宋体" w:cs="Times New Roman"/>
      <w:spacing w:val="8"/>
      <w:sz w:val="21"/>
      <w:szCs w:val="28"/>
      <w:lang w:val="en-US" w:eastAsia="zh-CN" w:bidi="ar-SA"/>
    </w:rPr>
  </w:style>
  <w:style w:type="character" w:customStyle="1" w:styleId="103">
    <w:name w:val="表蕊居中 Char"/>
    <w:link w:val="102"/>
    <w:qFormat/>
    <w:locked/>
    <w:uiPriority w:val="0"/>
    <w:rPr>
      <w:spacing w:val="8"/>
      <w:sz w:val="21"/>
      <w:szCs w:val="28"/>
      <w:lang w:val="en-US" w:eastAsia="zh-CN" w:bidi="ar-SA"/>
    </w:rPr>
  </w:style>
  <w:style w:type="character" w:customStyle="1" w:styleId="104">
    <w:name w:val="a12"/>
    <w:basedOn w:val="36"/>
    <w:qFormat/>
    <w:uiPriority w:val="0"/>
  </w:style>
  <w:style w:type="paragraph" w:customStyle="1" w:styleId="105">
    <w:name w:val="默认段落字体 Para Char"/>
    <w:basedOn w:val="1"/>
    <w:qFormat/>
    <w:uiPriority w:val="0"/>
    <w:pPr>
      <w:widowControl/>
      <w:jc w:val="left"/>
    </w:pPr>
    <w:rPr>
      <w:rFonts w:ascii="宋体" w:hAnsi="宋体" w:cs="宋体"/>
      <w:kern w:val="0"/>
      <w:sz w:val="24"/>
    </w:rPr>
  </w:style>
  <w:style w:type="paragraph" w:customStyle="1" w:styleId="106">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107">
    <w:name w:val="正文1"/>
    <w:basedOn w:val="1"/>
    <w:qFormat/>
    <w:uiPriority w:val="0"/>
    <w:pPr>
      <w:autoSpaceDE w:val="0"/>
      <w:autoSpaceDN w:val="0"/>
      <w:spacing w:after="160" w:line="440" w:lineRule="exact"/>
      <w:ind w:left="556"/>
      <w:textAlignment w:val="bottom"/>
    </w:pPr>
    <w:rPr>
      <w:color w:val="000000"/>
      <w:sz w:val="28"/>
      <w:szCs w:val="20"/>
    </w:rPr>
  </w:style>
  <w:style w:type="paragraph" w:customStyle="1" w:styleId="108">
    <w:name w:val="Char Char Char Char Char Char"/>
    <w:basedOn w:val="1"/>
    <w:qFormat/>
    <w:uiPriority w:val="0"/>
    <w:rPr>
      <w:sz w:val="24"/>
    </w:rPr>
  </w:style>
  <w:style w:type="paragraph" w:customStyle="1" w:styleId="109">
    <w:name w:val="TOC 标题1"/>
    <w:basedOn w:val="4"/>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110">
    <w:name w:val="页眉 Char"/>
    <w:basedOn w:val="36"/>
    <w:qFormat/>
    <w:uiPriority w:val="0"/>
    <w:rPr>
      <w:kern w:val="2"/>
      <w:sz w:val="18"/>
      <w:lang w:val="en-US" w:eastAsia="zh-CN"/>
    </w:rPr>
  </w:style>
  <w:style w:type="paragraph" w:customStyle="1" w:styleId="111">
    <w:name w:val="Char Char Char Char1 Char Char Char Char"/>
    <w:basedOn w:val="1"/>
    <w:qFormat/>
    <w:uiPriority w:val="0"/>
    <w:rPr>
      <w:sz w:val="24"/>
    </w:rPr>
  </w:style>
  <w:style w:type="character" w:customStyle="1" w:styleId="112">
    <w:name w:val="apple-style-span"/>
    <w:basedOn w:val="36"/>
    <w:qFormat/>
    <w:uiPriority w:val="0"/>
  </w:style>
  <w:style w:type="character" w:customStyle="1" w:styleId="113">
    <w:name w:val="表蕊 Char1"/>
    <w:basedOn w:val="36"/>
    <w:link w:val="114"/>
    <w:qFormat/>
    <w:uiPriority w:val="0"/>
    <w:rPr>
      <w:rFonts w:eastAsia="楷体_GB2312"/>
      <w:spacing w:val="-10"/>
      <w:sz w:val="21"/>
    </w:rPr>
  </w:style>
  <w:style w:type="paragraph" w:customStyle="1" w:styleId="114">
    <w:name w:val="表蕊"/>
    <w:basedOn w:val="1"/>
    <w:link w:val="113"/>
    <w:qFormat/>
    <w:uiPriority w:val="0"/>
    <w:pPr>
      <w:adjustRightInd w:val="0"/>
      <w:spacing w:line="320" w:lineRule="atLeast"/>
      <w:jc w:val="left"/>
      <w:textAlignment w:val="baseline"/>
    </w:pPr>
    <w:rPr>
      <w:rFonts w:eastAsia="楷体_GB2312"/>
      <w:spacing w:val="-10"/>
      <w:kern w:val="0"/>
      <w:szCs w:val="20"/>
    </w:rPr>
  </w:style>
  <w:style w:type="paragraph" w:customStyle="1" w:styleId="115">
    <w:name w:val="Table Paragraph"/>
    <w:basedOn w:val="1"/>
    <w:qFormat/>
    <w:uiPriority w:val="1"/>
    <w:pPr>
      <w:jc w:val="left"/>
    </w:pPr>
    <w:rPr>
      <w:rFonts w:ascii="Calibri" w:hAnsi="Calibri"/>
      <w:kern w:val="0"/>
      <w:sz w:val="22"/>
      <w:szCs w:val="22"/>
      <w:lang w:eastAsia="en-US"/>
    </w:rPr>
  </w:style>
  <w:style w:type="paragraph" w:styleId="116">
    <w:name w:val="List Paragraph"/>
    <w:basedOn w:val="1"/>
    <w:qFormat/>
    <w:uiPriority w:val="34"/>
    <w:pPr>
      <w:ind w:firstLine="420" w:firstLineChars="200"/>
    </w:pPr>
  </w:style>
  <w:style w:type="character" w:customStyle="1" w:styleId="117">
    <w:name w:val="样式 宋体 小四 居中 行距: 最小值 0 磅"/>
    <w:qFormat/>
    <w:uiPriority w:val="0"/>
    <w:rPr>
      <w:rFonts w:ascii="宋体" w:hAnsi="宋体" w:eastAsia="Times New Roman"/>
      <w:sz w:val="24"/>
    </w:rPr>
  </w:style>
  <w:style w:type="paragraph" w:customStyle="1" w:styleId="118">
    <w:name w:val="三同时表"/>
    <w:basedOn w:val="1"/>
    <w:qFormat/>
    <w:uiPriority w:val="0"/>
    <w:pPr>
      <w:jc w:val="center"/>
    </w:pPr>
    <w:rPr>
      <w:rFonts w:ascii="Calibri" w:hAnsi="Calibri"/>
      <w:sz w:val="18"/>
      <w:szCs w:val="18"/>
    </w:rPr>
  </w:style>
  <w:style w:type="character" w:customStyle="1" w:styleId="119">
    <w:name w:val="页脚 Char"/>
    <w:link w:val="23"/>
    <w:qFormat/>
    <w:uiPriority w:val="99"/>
    <w:rPr>
      <w:b/>
      <w:sz w:val="18"/>
      <w:szCs w:val="21"/>
    </w:rPr>
  </w:style>
  <w:style w:type="table" w:customStyle="1" w:styleId="1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2"/>
    <customShpInfo spid="_x0000_s2053"/>
    <customShpInfo spid="_x0000_s2050"/>
    <customShpInfo spid="_x0000_s2051"/>
    <customShpInfo spid="_x0000_s1026"/>
    <customShpInfo spid="_x0000_s1027"/>
    <customShpInfo spid="_x0000_s1031"/>
    <customShpInfo spid="_x0000_s102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8F2F01-0F3A-4E17-90F9-BFA28EDDDFF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10858</Words>
  <Characters>4160</Characters>
  <Lines>34</Lines>
  <Paragraphs>29</Paragraphs>
  <TotalTime>269</TotalTime>
  <ScaleCrop>false</ScaleCrop>
  <LinksUpToDate>false</LinksUpToDate>
  <CharactersWithSpaces>14989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2018-12-17T08:37:00Z</dcterms:created>
  <dc:creator>姚坚</dc:creator>
  <cp:lastModifiedBy>空城</cp:lastModifiedBy>
  <cp:lastPrinted>2022-02-28T07:24:01Z</cp:lastPrinted>
  <dcterms:modified xsi:type="dcterms:W3CDTF">2022-02-28T07:36:51Z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BA0B862405454F66B2AB9C87B041A7BA</vt:lpwstr>
  </property>
</Properties>
</file>